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356" w:type="dxa"/>
        <w:tblBorders/>
        <w:tblLayout w:type="fixed"/>
        <w:tblLook w:val="0000" w:firstRow="0" w:lastRow="0" w:firstColumn="0" w:lastColumn="0" w:noHBand="0" w:noVBand="0"/>
      </w:tblPr>
      <w:tblGrid>
        <w:gridCol w:w="3828"/>
        <w:gridCol w:w="5528"/>
      </w:tblGrid>
      <w:tr>
        <w:trPr>
          <w:cantSplit/>
          <w:trHeight w:val="851"/>
        </w:trPr>
        <w:tc>
          <w:tcPr>
            <w:tcBorders/>
            <w:tcW w:w="3828"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25" w:left="-109"/>
              <w:jc w:val="center"/>
              <w:rPr>
                <w:sz w:val="26"/>
                <w:szCs w:val="26"/>
              </w:rPr>
            </w:pPr>
            <w:r>
              <w:rPr>
                <w:sz w:val="26"/>
                <w:szCs w:val="26"/>
              </w:rPr>
              <w:t xml:space="preserve">UBND TỈNH TÂY NINH</w:t>
            </w:r>
            <w:r>
              <w:rPr>
                <w:sz w:val="26"/>
                <w:szCs w:val="26"/>
              </w:rPr>
            </w:r>
            <w:r>
              <w:rPr>
                <w:sz w:val="26"/>
                <w:szCs w:val="26"/>
              </w:rPr>
            </w:r>
          </w:p>
          <w:p>
            <w:pPr>
              <w:pBdr>
                <w:top w:val="none" w:color="000000" w:sz="0" w:space="0"/>
                <w:left w:val="none" w:color="000000" w:sz="0" w:space="0"/>
                <w:bottom w:val="none" w:color="000000" w:sz="0" w:space="0"/>
                <w:right w:val="none" w:color="000000" w:sz="0" w:space="0"/>
                <w:between w:val="none" w:color="000000" w:sz="0" w:space="0"/>
              </w:pBdr>
              <w:spacing/>
              <w:ind w:right="25" w:left="-109"/>
              <w:jc w:val="center"/>
              <w:rPr>
                <w:b/>
                <w:sz w:val="26"/>
                <w:szCs w:val="26"/>
              </w:rPr>
            </w:pPr>
            <w:r>
              <w:rPr>
                <w:b/>
                <w:sz w:val="26"/>
                <w:szCs w:val="26"/>
              </w:rPr>
              <w:t xml:space="preserve">SỞ GIÁO DỤC VÀ ĐÀO TẠO</w:t>
            </w:r>
            <w:r>
              <w:rPr>
                <w:b/>
                <w:sz w:val="26"/>
                <w:szCs w:val="26"/>
              </w:rPr>
            </w:r>
            <w:r>
              <w:rPr>
                <w:b/>
                <w:sz w:val="26"/>
                <w:szCs w:val="26"/>
              </w:rPr>
            </w:r>
          </w:p>
          <w:p>
            <w:pPr>
              <w:pBdr>
                <w:top w:val="none" w:color="000000" w:sz="0" w:space="0"/>
                <w:left w:val="none" w:color="000000" w:sz="0" w:space="0"/>
                <w:bottom w:val="none" w:color="000000" w:sz="0" w:space="0"/>
                <w:right w:val="none" w:color="000000" w:sz="0" w:space="0"/>
                <w:between w:val="none" w:color="000000" w:sz="0" w:space="0"/>
              </w:pBdr>
              <w:spacing/>
              <w:ind w:right="25" w:left="-109"/>
              <w:jc w:val="center"/>
              <w:rPr>
                <w:sz w:val="20"/>
                <w:szCs w:val="20"/>
              </w:rPr>
            </w:pPr>
            <w:r>
              <w:rPr>
                <w:sz w:val="20"/>
                <w:szCs w:val="20"/>
              </w:rPr>
              <w:t xml:space="preserve">–––––––––––– </w:t>
            </w:r>
            <w:r>
              <w:rPr>
                <w:sz w:val="20"/>
                <w:szCs w:val="20"/>
              </w:rPr>
            </w:r>
            <w:r>
              <w:rPr>
                <w:sz w:val="20"/>
                <w:szCs w:val="20"/>
              </w:rPr>
            </w:r>
          </w:p>
          <w:p>
            <w:pPr>
              <w:pBdr>
                <w:top w:val="none" w:color="000000" w:sz="0" w:space="0"/>
                <w:left w:val="none" w:color="000000" w:sz="0" w:space="0"/>
                <w:bottom w:val="none" w:color="000000" w:sz="0" w:space="0"/>
                <w:right w:val="none" w:color="000000" w:sz="0" w:space="0"/>
                <w:between w:val="none" w:color="000000" w:sz="0" w:space="0"/>
              </w:pBdr>
              <w:spacing w:after="80"/>
              <w:ind w:right="25" w:left="-109"/>
              <w:jc w:val="center"/>
              <w:rPr>
                <w:b/>
                <w:spacing w:val="-6"/>
                <w:sz w:val="26"/>
                <w:szCs w:val="26"/>
              </w:rPr>
            </w:pPr>
            <w:r>
              <w:rPr>
                <w:spacing w:val="-6"/>
                <w:sz w:val="26"/>
                <w:szCs w:val="26"/>
              </w:rPr>
              <w:t xml:space="preserve">Số:   </w:t>
            </w:r>
            <w:r>
              <w:rPr>
                <w:spacing w:val="-6"/>
                <w:sz w:val="26"/>
                <w:szCs w:val="26"/>
                <w:lang w:val="vi-VN"/>
              </w:rPr>
              <w:t xml:space="preserve">   </w:t>
            </w:r>
            <w:r>
              <w:rPr>
                <w:spacing w:val="-6"/>
                <w:sz w:val="26"/>
                <w:szCs w:val="26"/>
              </w:rPr>
              <w:t xml:space="preserve">    </w:t>
            </w:r>
            <w:r>
              <w:rPr>
                <w:spacing w:val="-6"/>
                <w:sz w:val="26"/>
                <w:szCs w:val="26"/>
                <w:lang w:val="vi-VN"/>
              </w:rPr>
              <w:t xml:space="preserve"> </w:t>
            </w:r>
            <w:r>
              <w:rPr>
                <w:spacing w:val="-6"/>
                <w:sz w:val="26"/>
                <w:szCs w:val="26"/>
              </w:rPr>
              <w:t xml:space="preserve">  /SGDĐT-GDNN-GDTX</w:t>
            </w:r>
            <w:r>
              <w:rPr>
                <w:b/>
                <w:spacing w:val="-6"/>
                <w:sz w:val="26"/>
                <w:szCs w:val="26"/>
              </w:rPr>
            </w:r>
            <w:r>
              <w:rPr>
                <w:b/>
                <w:spacing w:val="-6"/>
                <w:sz w:val="26"/>
                <w:szCs w:val="26"/>
              </w:rPr>
            </w:r>
          </w:p>
        </w:tc>
        <w:tc>
          <w:tcPr>
            <w:tcBorders/>
            <w:tcW w:w="5528" w:type="dxa"/>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pacing/>
              <w:ind w:right="25" w:left="-109"/>
              <w:jc w:val="center"/>
              <w:rPr>
                <w:b/>
                <w:spacing w:val="-4"/>
                <w:sz w:val="26"/>
                <w:szCs w:val="26"/>
              </w:rPr>
            </w:pPr>
            <w:r>
              <w:rPr>
                <w:b/>
                <w:spacing w:val="-4"/>
                <w:sz w:val="26"/>
                <w:szCs w:val="26"/>
              </w:rPr>
              <w:t xml:space="preserve">CỘNG HÒA XÃ HỘI CHỦ NGHĨA VIỆT NAM</w:t>
            </w:r>
            <w:r>
              <w:rPr>
                <w:b/>
                <w:spacing w:val="-4"/>
                <w:sz w:val="26"/>
                <w:szCs w:val="26"/>
              </w:rPr>
            </w:r>
            <w:r>
              <w:rPr>
                <w:b/>
                <w:spacing w:val="-4"/>
                <w:sz w:val="26"/>
                <w:szCs w:val="26"/>
              </w:rPr>
            </w:r>
          </w:p>
          <w:p>
            <w:pPr>
              <w:pBdr>
                <w:top w:val="none" w:color="000000" w:sz="0" w:space="0"/>
                <w:left w:val="none" w:color="000000" w:sz="0" w:space="0"/>
                <w:bottom w:val="none" w:color="000000" w:sz="0" w:space="0"/>
                <w:right w:val="none" w:color="000000" w:sz="0" w:space="0"/>
                <w:between w:val="none" w:color="000000" w:sz="0" w:space="0"/>
              </w:pBdr>
              <w:spacing/>
              <w:ind w:right="25" w:left="-109"/>
              <w:jc w:val="center"/>
              <w:rPr>
                <w:b/>
                <w:sz w:val="26"/>
                <w:szCs w:val="26"/>
              </w:rPr>
            </w:pPr>
            <w:r>
              <w:rPr>
                <w:b/>
                <w:sz w:val="26"/>
                <w:szCs w:val="26"/>
              </w:rPr>
              <w:t xml:space="preserve">Độc lập - Tự do - Hạnh phúc</w:t>
            </w:r>
            <w:r>
              <w:rPr>
                <w:b/>
                <w:sz w:val="26"/>
                <w:szCs w:val="26"/>
              </w:rPr>
            </w:r>
            <w:r>
              <w:rPr>
                <w:b/>
                <w:sz w:val="26"/>
                <w:szCs w:val="26"/>
              </w:rPr>
            </w:r>
          </w:p>
          <w:p>
            <w:pPr>
              <w:pBdr>
                <w:top w:val="none" w:color="000000" w:sz="0" w:space="0"/>
                <w:left w:val="none" w:color="000000" w:sz="0" w:space="0"/>
                <w:bottom w:val="none" w:color="000000" w:sz="0" w:space="0"/>
                <w:right w:val="none" w:color="000000" w:sz="0" w:space="0"/>
                <w:between w:val="none" w:color="000000" w:sz="0" w:space="0"/>
              </w:pBdr>
              <w:spacing/>
              <w:ind w:right="25" w:left="-109"/>
              <w:jc w:val="center"/>
              <w:rPr>
                <w:i/>
                <w:sz w:val="20"/>
                <w:szCs w:val="20"/>
              </w:rPr>
            </w:pPr>
            <w:r>
              <w:rPr>
                <w:i/>
                <w:sz w:val="20"/>
                <w:szCs w:val="20"/>
              </w:rPr>
              <w:t xml:space="preserve">––––––––––––––––––––––––––––––––</w:t>
            </w:r>
            <w:r>
              <w:rPr>
                <w:i/>
                <w:sz w:val="20"/>
                <w:szCs w:val="20"/>
              </w:rPr>
            </w:r>
            <w:r>
              <w:rPr>
                <w:i/>
                <w:sz w:val="20"/>
                <w:szCs w:val="20"/>
              </w:rPr>
            </w:r>
          </w:p>
          <w:p>
            <w:pPr>
              <w:pBdr>
                <w:top w:val="none" w:color="000000" w:sz="0" w:space="0"/>
                <w:left w:val="none" w:color="000000" w:sz="0" w:space="0"/>
                <w:bottom w:val="none" w:color="000000" w:sz="0" w:space="0"/>
                <w:right w:val="none" w:color="000000" w:sz="0" w:space="0"/>
                <w:between w:val="none" w:color="000000" w:sz="0" w:space="0"/>
              </w:pBdr>
              <w:spacing/>
              <w:ind w:right="25" w:left="-109"/>
              <w:jc w:val="center"/>
              <w:rPr>
                <w:b/>
                <w:sz w:val="26"/>
                <w:szCs w:val="26"/>
              </w:rPr>
            </w:pPr>
            <w:r>
              <w:rPr>
                <w:i/>
                <w:sz w:val="26"/>
                <w:szCs w:val="26"/>
              </w:rPr>
              <w:t xml:space="preserve">Tây Ninh, ngày           tháng 10 năm 2025</w:t>
            </w:r>
            <w:r>
              <w:rPr>
                <w:b/>
                <w:sz w:val="26"/>
                <w:szCs w:val="26"/>
              </w:rPr>
            </w:r>
            <w:r>
              <w:rPr>
                <w:b/>
                <w:sz w:val="26"/>
                <w:szCs w:val="26"/>
              </w:rPr>
            </w:r>
          </w:p>
        </w:tc>
      </w:tr>
    </w:tbl>
    <w:p>
      <w:pPr>
        <w:pBdr>
          <w:top w:val="none" w:color="000000" w:sz="0" w:space="0"/>
          <w:left w:val="none" w:color="000000" w:sz="0" w:space="0"/>
          <w:bottom w:val="none" w:color="000000" w:sz="0" w:space="0"/>
          <w:right w:val="none" w:color="000000" w:sz="0" w:space="0"/>
          <w:between w:val="none" w:color="000000" w:sz="0" w:space="0"/>
        </w:pBdr>
        <w:spacing/>
        <w:ind w:right="5211" w:firstLine="125"/>
        <w:jc w:val="center"/>
        <w:rPr>
          <w:sz w:val="24"/>
          <w:szCs w:val="24"/>
        </w:rPr>
      </w:pPr>
      <w:r>
        <w:rPr>
          <w:sz w:val="24"/>
          <w:szCs w:val="24"/>
          <w:lang w:val="vi-VN" w:eastAsia="vi-VN"/>
        </w:rPr>
        <w:t xml:space="preserve">V/v hướng dẫn hoạt động chuyên môn đối với giáo dục thường xuyên </w:t>
      </w:r>
      <w:r>
        <w:rPr>
          <w:sz w:val="24"/>
          <w:szCs w:val="24"/>
          <w:lang w:val="vi-VN" w:eastAsia="vi-VN"/>
        </w:rPr>
      </w:r>
      <w:r>
        <w:rPr>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5211" w:firstLine="125"/>
        <w:jc w:val="center"/>
        <w:rPr>
          <w:sz w:val="24"/>
          <w:szCs w:val="24"/>
        </w:rPr>
      </w:pPr>
      <w:r>
        <w:rPr>
          <w:sz w:val="24"/>
          <w:szCs w:val="24"/>
          <w:lang w:val="vi-VN" w:eastAsia="vi-VN"/>
        </w:rPr>
        <w:t xml:space="preserve">năm học 2025 - 2026</w:t>
      </w:r>
      <w:r>
        <w:rPr>
          <w:sz w:val="24"/>
          <w:szCs w:val="24"/>
          <w:lang w:val="vi-VN" w:eastAsia="vi-VN"/>
        </w:rPr>
      </w:r>
      <w:r>
        <w:rPr>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0" w:beforeAutospacing="0" w:line="259" w:lineRule="auto"/>
        <w:ind w:left="2069"/>
        <w:rPr>
          <w:sz w:val="28"/>
          <w:szCs w:val="28"/>
          <w:lang w:val="vi-VN" w:eastAsia="vi-VN"/>
        </w:rPr>
      </w:pPr>
      <w:r>
        <w:rPr>
          <w:sz w:val="28"/>
          <w:szCs w:val="28"/>
          <w:lang w:val="vi-VN" w:eastAsia="vi-VN"/>
        </w:rPr>
        <w:t xml:space="preserve"> </w:t>
      </w:r>
      <w:r>
        <w:rPr>
          <w:sz w:val="28"/>
          <w:szCs w:val="28"/>
          <w:lang w:val="vi-VN" w:eastAsia="vi-VN"/>
        </w:rPr>
      </w:r>
      <w:r>
        <w:rPr>
          <w:sz w:val="28"/>
          <w:szCs w:val="28"/>
          <w:lang w:val="vi-VN" w:eastAsia="vi-VN"/>
        </w:rPr>
      </w:r>
    </w:p>
    <w:p>
      <w:pPr>
        <w:pBdr>
          <w:top w:val="none" w:color="000000" w:sz="0" w:space="0"/>
          <w:left w:val="none" w:color="000000" w:sz="0" w:space="0"/>
          <w:bottom w:val="none" w:color="000000" w:sz="0" w:space="0"/>
          <w:right w:val="none" w:color="000000" w:sz="0" w:space="0"/>
          <w:between w:val="none" w:color="000000" w:sz="0" w:space="0"/>
        </w:pBdr>
        <w:spacing w:before="0" w:beforeAutospacing="0"/>
        <w:ind w:right="238" w:firstLine="0" w:left="2409"/>
        <w:jc w:val="both"/>
        <w:rPr>
          <w:sz w:val="28"/>
          <w:szCs w:val="28"/>
          <w:lang w:val="vi-VN" w:eastAsia="vi-VN"/>
        </w:rPr>
      </w:pPr>
      <w:r>
        <w:rPr>
          <w:sz w:val="28"/>
          <w:szCs w:val="28"/>
          <w:lang w:val="vi-VN" w:eastAsia="vi-VN"/>
        </w:rPr>
        <w:t xml:space="preserve">Kính gửi: </w:t>
      </w:r>
      <w:r>
        <w:rPr>
          <w:sz w:val="28"/>
          <w:szCs w:val="28"/>
          <w:lang w:val="vi-VN" w:eastAsia="vi-VN"/>
        </w:rPr>
      </w:r>
      <w:r>
        <w:rPr>
          <w:sz w:val="28"/>
          <w:szCs w:val="28"/>
          <w:lang w:val="vi-VN" w:eastAsia="vi-VN"/>
        </w:rPr>
      </w:r>
    </w:p>
    <w:p>
      <w:pPr>
        <w:numPr>
          <w:ilvl w:val="0"/>
          <w:numId w:val="16"/>
        </w:numPr>
        <w:pBdr>
          <w:top w:val="none" w:color="000000" w:sz="0" w:space="0"/>
          <w:left w:val="none" w:color="000000" w:sz="0" w:space="0"/>
          <w:bottom w:val="none" w:color="000000" w:sz="0" w:space="0"/>
          <w:right w:val="none" w:color="000000" w:sz="0" w:space="0"/>
          <w:between w:val="none" w:color="000000" w:sz="0" w:space="0"/>
        </w:pBdr>
        <w:spacing w:before="0" w:beforeAutospacing="0"/>
        <w:ind w:right="238" w:hanging="163"/>
        <w:jc w:val="both"/>
        <w:rPr>
          <w:sz w:val="28"/>
          <w:szCs w:val="28"/>
          <w:lang w:val="vi-VN" w:eastAsia="vi-VN"/>
        </w:rPr>
      </w:pPr>
      <w:r>
        <w:rPr>
          <w:sz w:val="28"/>
          <w:szCs w:val="28"/>
        </w:rPr>
        <w:t xml:space="preserve">Chủ tịch UBND xã, phường;</w:t>
      </w:r>
      <w:r>
        <w:rPr>
          <w:sz w:val="28"/>
          <w:szCs w:val="28"/>
          <w:lang w:val="vi-VN" w:eastAsia="vi-VN"/>
        </w:rPr>
      </w:r>
      <w:r>
        <w:rPr>
          <w:sz w:val="28"/>
          <w:szCs w:val="28"/>
          <w:lang w:val="vi-VN" w:eastAsia="vi-VN"/>
        </w:rPr>
      </w:r>
    </w:p>
    <w:p>
      <w:pPr>
        <w:numPr>
          <w:ilvl w:val="0"/>
          <w:numId w:val="16"/>
        </w:numPr>
        <w:pBdr>
          <w:top w:val="none" w:color="000000" w:sz="0" w:space="0"/>
          <w:left w:val="none" w:color="000000" w:sz="0" w:space="0"/>
          <w:bottom w:val="none" w:color="000000" w:sz="0" w:space="0"/>
          <w:right w:val="none" w:color="000000" w:sz="0" w:space="0"/>
          <w:between w:val="none" w:color="000000" w:sz="0" w:space="0"/>
        </w:pBdr>
        <w:spacing w:before="0" w:beforeAutospacing="0"/>
        <w:ind w:right="238" w:hanging="163"/>
        <w:jc w:val="both"/>
        <w:rPr>
          <w:sz w:val="28"/>
          <w:szCs w:val="28"/>
          <w:lang w:val="vi-VN" w:eastAsia="vi-VN"/>
        </w:rPr>
      </w:pPr>
      <w:r>
        <w:rPr>
          <w:sz w:val="28"/>
          <w:szCs w:val="28"/>
        </w:rPr>
        <w:t xml:space="preserve">Hiệu trưởng, Giám đốc các đơn vị trực thuộc;</w:t>
      </w:r>
      <w:r>
        <w:rPr>
          <w:sz w:val="28"/>
          <w:szCs w:val="28"/>
          <w:lang w:val="vi-VN" w:eastAsia="vi-VN"/>
        </w:rPr>
      </w:r>
      <w:r>
        <w:rPr>
          <w:sz w:val="28"/>
          <w:szCs w:val="28"/>
          <w:lang w:val="vi-VN" w:eastAsia="vi-VN"/>
        </w:rPr>
      </w:r>
    </w:p>
    <w:p>
      <w:pPr>
        <w:numPr>
          <w:ilvl w:val="0"/>
          <w:numId w:val="16"/>
        </w:numPr>
        <w:pBdr>
          <w:top w:val="none" w:color="000000" w:sz="0" w:space="0"/>
          <w:left w:val="none" w:color="000000" w:sz="0" w:space="0"/>
          <w:bottom w:val="none" w:color="000000" w:sz="0" w:space="0"/>
          <w:right w:val="none" w:color="000000" w:sz="0" w:space="0"/>
          <w:between w:val="none" w:color="000000" w:sz="0" w:space="0"/>
        </w:pBdr>
        <w:spacing w:before="0" w:beforeAutospacing="0"/>
        <w:ind w:right="238" w:hanging="163"/>
        <w:jc w:val="both"/>
        <w:rPr>
          <w:sz w:val="28"/>
          <w:szCs w:val="28"/>
          <w:lang w:val="vi-VN" w:eastAsia="vi-VN"/>
        </w:rPr>
      </w:pPr>
      <w:r>
        <w:rPr>
          <w:sz w:val="28"/>
          <w:szCs w:val="28"/>
        </w:rPr>
        <w:t xml:space="preserve">Giám đốc các trung tâm ngoại ngữ, tin học;</w:t>
      </w:r>
      <w:r>
        <w:rPr>
          <w:sz w:val="28"/>
          <w:szCs w:val="28"/>
        </w:rPr>
        <w:t xml:space="preserve"> </w:t>
      </w:r>
      <w:r>
        <w:rPr>
          <w:sz w:val="28"/>
          <w:szCs w:val="28"/>
          <w:lang w:val="vi-VN" w:eastAsia="vi-VN"/>
        </w:rPr>
      </w:r>
      <w:r>
        <w:rPr>
          <w:sz w:val="28"/>
          <w:szCs w:val="28"/>
          <w:lang w:val="vi-VN" w:eastAsia="vi-VN"/>
        </w:rPr>
      </w:r>
    </w:p>
    <w:p>
      <w:pPr>
        <w:numPr>
          <w:ilvl w:val="0"/>
          <w:numId w:val="16"/>
        </w:numPr>
        <w:pBdr>
          <w:top w:val="none" w:color="000000" w:sz="0" w:space="0"/>
          <w:left w:val="none" w:color="000000" w:sz="0" w:space="0"/>
          <w:bottom w:val="none" w:color="000000" w:sz="0" w:space="0"/>
          <w:right w:val="none" w:color="000000" w:sz="0" w:space="0"/>
          <w:between w:val="none" w:color="000000" w:sz="0" w:space="0"/>
        </w:pBdr>
        <w:spacing w:before="0" w:beforeAutospacing="0"/>
        <w:ind w:right="238" w:hanging="163"/>
        <w:jc w:val="both"/>
        <w:rPr>
          <w:sz w:val="28"/>
          <w:szCs w:val="28"/>
          <w:lang w:val="vi-VN" w:eastAsia="vi-VN"/>
        </w:rPr>
      </w:pPr>
      <w:r>
        <w:rPr>
          <w:sz w:val="28"/>
          <w:szCs w:val="28"/>
        </w:rPr>
        <w:t xml:space="preserve">Hiệu trưởng Trường Thể dục Thể thao.</w:t>
      </w:r>
      <w:r>
        <w:rPr>
          <w:sz w:val="28"/>
          <w:szCs w:val="28"/>
          <w:lang w:val="vi-VN" w:eastAsia="vi-VN"/>
        </w:rPr>
      </w:r>
      <w:r>
        <w:rPr>
          <w:sz w:val="28"/>
          <w:szCs w:val="28"/>
          <w:lang w:val="vi-VN" w:eastAsia="vi-VN"/>
        </w:rPr>
      </w:r>
    </w:p>
    <w:p>
      <w:pPr>
        <w:pBdr/>
        <w:spacing w:before="0" w:beforeAutospacing="0"/>
        <w:ind w:firstLine="533"/>
        <w:jc w:val="both"/>
        <w:rPr>
          <w:sz w:val="28"/>
          <w:szCs w:val="28"/>
        </w:rPr>
      </w:pPr>
      <w:r>
        <w:rPr>
          <w:sz w:val="28"/>
          <w:szCs w:val="28"/>
        </w:rPr>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Thực hiện</w:t>
      </w:r>
      <w:r>
        <w:rPr>
          <w:sz w:val="28"/>
          <w:szCs w:val="28"/>
          <w:lang w:val="vi-VN"/>
        </w:rPr>
        <w:t xml:space="preserve"> </w:t>
      </w:r>
      <w:r>
        <w:rPr>
          <w:sz w:val="28"/>
          <w:szCs w:val="28"/>
        </w:rPr>
        <w:t xml:space="preserve">Chỉ thị số 1032/CT-UBND ngày 05/9/2025 của UBND tỉnh Tây Ninh</w:t>
      </w:r>
      <w:r>
        <w:rPr>
          <w:sz w:val="28"/>
          <w:szCs w:val="28"/>
        </w:rPr>
        <w:t xml:space="preserve"> </w:t>
      </w:r>
      <w:r>
        <w:rPr>
          <w:sz w:val="28"/>
          <w:szCs w:val="28"/>
        </w:rPr>
        <w:t xml:space="preserve">về nhiệm vụ, giải pháp trọng tâm năm học 2025 - 2026 của ngành Giáo dục và Đào</w:t>
      </w:r>
      <w:r>
        <w:rPr>
          <w:sz w:val="28"/>
          <w:szCs w:val="28"/>
        </w:rPr>
        <w:t xml:space="preserve"> </w:t>
      </w:r>
      <w:r>
        <w:rPr>
          <w:sz w:val="28"/>
          <w:szCs w:val="28"/>
        </w:rPr>
        <w:t xml:space="preserve">tạo tỉnh Tây Ninh</w:t>
      </w:r>
      <w:r>
        <w:rPr>
          <w:sz w:val="28"/>
          <w:szCs w:val="28"/>
        </w:rPr>
        <w:t xml:space="preserve">; </w:t>
      </w:r>
      <w:r>
        <w:rPr>
          <w:sz w:val="28"/>
          <w:szCs w:val="28"/>
        </w:rPr>
        <w:t xml:space="preserve">Quyết định số 2836/QĐ-UBND ngày 20/8/2025 của UBND tỉnh</w:t>
      </w:r>
      <w:r>
        <w:rPr>
          <w:sz w:val="28"/>
          <w:szCs w:val="28"/>
        </w:rPr>
        <w:t xml:space="preserve"> </w:t>
      </w:r>
      <w:r>
        <w:rPr>
          <w:sz w:val="28"/>
          <w:szCs w:val="28"/>
        </w:rPr>
        <w:t xml:space="preserve">về việc ban hành kế hoạch thời gian năm học 2025 - 2026 đối với giáo dục mầm non,</w:t>
      </w:r>
      <w:r>
        <w:rPr>
          <w:sz w:val="28"/>
          <w:szCs w:val="28"/>
        </w:rPr>
        <w:t xml:space="preserve"> </w:t>
      </w:r>
      <w:r>
        <w:rPr>
          <w:sz w:val="28"/>
          <w:szCs w:val="28"/>
        </w:rPr>
        <w:t xml:space="preserve">giáo dục phổ thông và giáo dục thường xuyên trên địa bàn tỉnh Tây Ninh</w:t>
      </w:r>
      <w:r>
        <w:rPr>
          <w:sz w:val="28"/>
          <w:szCs w:val="28"/>
        </w:rPr>
        <w:t xml:space="preserve">, Sở Giáo dục và Đào tạo (GD&amp;ĐT) triển khai thực hiện nhiệm vụ năm học 202</w:t>
      </w:r>
      <w:r>
        <w:rPr>
          <w:sz w:val="28"/>
          <w:szCs w:val="28"/>
        </w:rPr>
        <w:t xml:space="preserve">5 </w:t>
      </w:r>
      <w:r>
        <w:rPr>
          <w:sz w:val="28"/>
          <w:szCs w:val="28"/>
        </w:rPr>
        <w:t xml:space="preserve">- 202</w:t>
      </w:r>
      <w:r>
        <w:rPr>
          <w:sz w:val="28"/>
          <w:szCs w:val="28"/>
        </w:rPr>
        <w:t xml:space="preserve">6</w:t>
      </w:r>
      <w:r>
        <w:rPr>
          <w:sz w:val="28"/>
          <w:szCs w:val="28"/>
          <w:lang w:val="vi-VN"/>
        </w:rPr>
        <w:t xml:space="preserve"> </w:t>
      </w:r>
      <w:r>
        <w:rPr>
          <w:sz w:val="28"/>
          <w:szCs w:val="28"/>
        </w:rPr>
        <w:t xml:space="preserve">đối với giáo dục thường xuyên, cụ thể </w:t>
      </w:r>
      <w:r>
        <w:rPr>
          <w:sz w:val="28"/>
          <w:szCs w:val="28"/>
          <w:lang w:val="vi-VN"/>
        </w:rPr>
        <w:t xml:space="preserve">như sau:</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I. NHIỆM VỤ CHUNG</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1. Tiếp tục triển khai, thực hiện có hiệu quả Đề án “Xây dựng xã hội học tập giai đoạn 2021 - 2030” ban hành theo Quyết định số 1373/QĐ-TTg ngày 30/7/2021 của Thủ tướng Chính phủ (Đề án 1373)</w:t>
      </w:r>
      <w:r>
        <w:rPr>
          <w:sz w:val="28"/>
          <w:szCs w:val="28"/>
        </w:rPr>
        <w:t xml:space="preserve">; </w:t>
      </w:r>
      <w:r>
        <w:rPr>
          <w:sz w:val="28"/>
          <w:szCs w:val="28"/>
        </w:rPr>
        <w:t xml:space="preserve">Chỉ thị số </w:t>
      </w:r>
      <w:r>
        <w:rPr>
          <w:rStyle w:val="1271"/>
          <w:rFonts w:ascii="Times New Roman" w:hAnsi="Times New Roman" w:cs="Times New Roman"/>
          <w:color w:val="auto"/>
          <w:sz w:val="28"/>
          <w:szCs w:val="28"/>
          <w:lang w:bidi="en-US"/>
        </w:rPr>
        <w:t xml:space="preserve">14</w:t>
      </w:r>
      <w:r>
        <w:rPr>
          <w:sz w:val="28"/>
          <w:szCs w:val="28"/>
          <w:lang w:bidi="en-US"/>
        </w:rPr>
        <w:t xml:space="preserve">-CT/TW </w:t>
      </w:r>
      <w:r>
        <w:rPr>
          <w:sz w:val="28"/>
          <w:szCs w:val="28"/>
        </w:rPr>
        <w:t xml:space="preserve">ngày 25/5/2021 của Thủ tướng Chính phủ về đẩy mạnh công tác khuyến học, khuyến tài, xây dựng xã hội học tập giai đoạn 2021 - 2030 (Chỉ thị 14)</w:t>
      </w:r>
      <w:r>
        <w:rPr>
          <w:sz w:val="28"/>
          <w:szCs w:val="28"/>
        </w:rPr>
        <w:t xml:space="preserve"> và </w:t>
      </w:r>
      <w:r>
        <w:rPr>
          <w:sz w:val="28"/>
          <w:szCs w:val="28"/>
        </w:rPr>
        <w:t xml:space="preserve">các phong trào Thi đua xây dựng xã hội học tập</w:t>
      </w:r>
      <w:r>
        <w:rPr>
          <w:rStyle w:val="1269"/>
          <w:sz w:val="28"/>
          <w:szCs w:val="28"/>
        </w:rPr>
        <w:footnoteReference w:id="2"/>
      </w:r>
      <w:r>
        <w:rPr>
          <w:sz w:val="28"/>
          <w:szCs w:val="28"/>
        </w:rPr>
        <w:t xml:space="preserve">, phong </w:t>
      </w:r>
      <w:r>
        <w:rPr>
          <w:sz w:val="28"/>
          <w:szCs w:val="28"/>
        </w:rPr>
        <w:t xml:space="preserve">trào “Bình dân học vụ </w:t>
      </w:r>
      <w:r>
        <w:rPr>
          <w:sz w:val="28"/>
          <w:szCs w:val="28"/>
        </w:rPr>
        <w:t xml:space="preserve">số”</w:t>
      </w:r>
      <w:r>
        <w:rPr>
          <w:rStyle w:val="1269"/>
          <w:sz w:val="28"/>
          <w:szCs w:val="28"/>
        </w:rPr>
        <w:footnoteReference w:id="3"/>
      </w:r>
      <w:r>
        <w:rPr>
          <w:sz w:val="28"/>
          <w:szCs w:val="28"/>
        </w:rPr>
        <w:t xml:space="preserve">.</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2. Tăng cường quản lý, kiểm tra việc thực hiện</w:t>
      </w:r>
      <w:r>
        <w:rPr>
          <w:sz w:val="28"/>
          <w:szCs w:val="28"/>
        </w:rPr>
        <w:t xml:space="preserve"> công tác phổ cập giáo dục,</w:t>
      </w:r>
      <w:r>
        <w:rPr>
          <w:sz w:val="28"/>
          <w:szCs w:val="28"/>
        </w:rPr>
        <w:t xml:space="preserve"> công tác xoá mù chữ trên địa bàn tỉnh. </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3. Đa dạng chương trình, nội dung và hình thức dạy học; nâng cao chất lượng giáo dục, đổi mới nội dung, chương trình, phương pháp dạy học, kiểm tra, đánh giá học viên theo học Chương trình xoá mù chữ, Chương trình GDTX cấp THCS và cấp THPT; thực hiện </w:t>
      </w:r>
      <w:r>
        <w:rPr>
          <w:sz w:val="28"/>
          <w:szCs w:val="28"/>
        </w:rPr>
        <w:t xml:space="preserve">tốt công tác </w:t>
      </w:r>
      <w:r>
        <w:rPr>
          <w:sz w:val="28"/>
          <w:szCs w:val="28"/>
        </w:rPr>
        <w:t xml:space="preserve">phân luồng học sinh trong giáo dục phổ thông. Duy trì hoạt động dạy và học chương trình GDTX tại các </w:t>
      </w:r>
      <w:r>
        <w:rPr>
          <w:sz w:val="28"/>
          <w:szCs w:val="28"/>
        </w:rPr>
        <w:t xml:space="preserve">trường có cấp học THPT, trung tâm, cơ sở giáo dục khác, đảm bảo đủ thời lượng, kiến thức, kỹ năng và kiên trì thực hiện mục tiêu chất lượng GDTX. Thực hiện có hiệu quả Nghị quyết số 06/NQ-CP ngày 10/01/2023 của Thủ tướng Chính phủ về phát triển thị trường </w:t>
      </w:r>
      <w:r>
        <w:rPr>
          <w:sz w:val="28"/>
          <w:szCs w:val="28"/>
        </w:rPr>
        <w:t xml:space="preserve">lao động linh hoạt, hiện đại, hiệu quả, bền vững và hội nhập nhằm phục hồi nhanh kinh tế - xã hội.</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4. Tăng cường tuyên truyền về vị trí, vai trò, mục tiêu, nhiệm vụ của GDTX được quy định tại Luật Giáo dục 2019; </w:t>
      </w:r>
      <w:r>
        <w:rPr>
          <w:sz w:val="28"/>
          <w:szCs w:val="28"/>
          <w:shd w:val="clear" w:color="auto" w:fill="ffffff"/>
        </w:rPr>
        <w:t xml:space="preserve">Luật Nhà giáo 2025</w:t>
      </w:r>
      <w:r>
        <w:rPr>
          <w:sz w:val="28"/>
          <w:szCs w:val="28"/>
          <w:shd w:val="clear" w:color="auto" w:fill="ffffff"/>
        </w:rPr>
        <w:t xml:space="preserve"> (Luật </w:t>
      </w:r>
      <w:r>
        <w:rPr>
          <w:sz w:val="28"/>
          <w:szCs w:val="28"/>
          <w:shd w:val="clear" w:color="auto" w:fill="ffffff"/>
        </w:rPr>
        <w:t xml:space="preserve">số 73/2025/QH15</w:t>
      </w:r>
      <w:r>
        <w:rPr>
          <w:sz w:val="28"/>
          <w:szCs w:val="28"/>
          <w:shd w:val="clear" w:color="auto" w:fill="ffffff"/>
        </w:rPr>
        <w:t xml:space="preserve"> </w:t>
      </w:r>
      <w:r>
        <w:rPr>
          <w:sz w:val="28"/>
          <w:szCs w:val="28"/>
          <w:shd w:val="clear" w:color="auto" w:fill="ffffff"/>
        </w:rPr>
        <w:t xml:space="preserve">đã được thông qua và sẽ có hiệu lực từ ngày 01/01/2026</w:t>
      </w:r>
      <w:r>
        <w:rPr>
          <w:sz w:val="28"/>
          <w:szCs w:val="28"/>
          <w:shd w:val="clear" w:color="auto" w:fill="ffffff"/>
        </w:rPr>
        <w:t xml:space="preserve">).</w:t>
      </w:r>
      <w:r>
        <w:rPr>
          <w:sz w:val="28"/>
          <w:szCs w:val="28"/>
        </w:rPr>
        <w:t xml:space="preserve"> </w:t>
      </w:r>
      <w:r>
        <w:rPr>
          <w:sz w:val="28"/>
          <w:szCs w:val="28"/>
        </w:rPr>
        <w:t xml:space="preserve">Nâng cao hiệu quả hoạt động của Trung tâm Học tập cộng đồng theo hướng phát triển bền vững; Tăng cường quản lý hiệu quả trung tâm giáo dục thường xuyên</w:t>
      </w:r>
      <w:r>
        <w:rPr>
          <w:sz w:val="28"/>
          <w:szCs w:val="28"/>
        </w:rPr>
        <w:t xml:space="preserve">, các trung tâm khác thực hiện nhiệm vụ giáo dục thường xuyên. Tăng cường tuyên truyền, phổ biến nhằm nâng cao nhận thức cho người dân và toàn xã hội về lợi ích, vai trò và tầm quan trọng của học tập thường xuyên, học tập suốt đời, xây dựng xã hội học tập.</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II. NHIỆM VỤ CỤ THỂ</w:t>
      </w:r>
      <w:r>
        <w:rPr>
          <w:b/>
          <w:sz w:val="28"/>
          <w:szCs w:val="28"/>
        </w:rPr>
      </w:r>
      <w:r>
        <w:rPr>
          <w:b/>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1. Đẩy mạnh các hoạt động góp phần xây dựng xã hội học tập</w:t>
      </w:r>
      <w:r>
        <w:rPr>
          <w:b/>
          <w:sz w:val="28"/>
          <w:szCs w:val="28"/>
        </w:rPr>
      </w:r>
      <w:r>
        <w:rPr>
          <w:b/>
          <w:sz w:val="28"/>
          <w:szCs w:val="28"/>
        </w:rPr>
      </w:r>
    </w:p>
    <w:p>
      <w:pPr>
        <w:pStyle w:val="1272"/>
        <w:pBdr/>
        <w:shd w:val="clear" w:color="auto" w:fill="auto"/>
        <w:spacing w:after="119" w:afterAutospacing="0" w:before="0" w:beforeAutospacing="0" w:line="240" w:lineRule="auto"/>
        <w:ind w:right="0" w:firstLine="709" w:left="0"/>
        <w:jc w:val="both"/>
        <w:rPr>
          <w:sz w:val="28"/>
          <w:szCs w:val="28"/>
          <w:lang w:val="pt-BR"/>
        </w:rPr>
      </w:pPr>
      <w:r>
        <w:rPr>
          <w:sz w:val="28"/>
          <w:szCs w:val="28"/>
        </w:rPr>
        <w:t xml:space="preserve">- </w:t>
      </w:r>
      <w:r>
        <w:rPr>
          <w:sz w:val="28"/>
          <w:szCs w:val="28"/>
        </w:rPr>
        <w:t xml:space="preserve">T</w:t>
      </w:r>
      <w:r>
        <w:rPr>
          <w:sz w:val="28"/>
          <w:szCs w:val="28"/>
        </w:rPr>
        <w:t xml:space="preserve">hủ trưởng các đơn vị phổ biến, quán triệt nội dung Đề án 1373, Chỉ thị 14, Quyết định số 1315</w:t>
      </w:r>
      <w:r>
        <w:rPr>
          <w:sz w:val="28"/>
          <w:szCs w:val="28"/>
        </w:rPr>
        <w:t xml:space="preserve">, </w:t>
      </w:r>
      <w:r>
        <w:rPr>
          <w:sz w:val="28"/>
          <w:szCs w:val="28"/>
        </w:rPr>
        <w:t xml:space="preserve">Quyết định số 329/QĐ-TTg ngày 15/3/2017</w:t>
      </w:r>
      <w:r>
        <w:rPr>
          <w:sz w:val="28"/>
          <w:szCs w:val="28"/>
        </w:rPr>
        <w:t xml:space="preserve">, </w:t>
      </w:r>
      <w:r>
        <w:rPr>
          <w:sz w:val="28"/>
          <w:szCs w:val="28"/>
        </w:rPr>
        <w:t xml:space="preserve">Quyết định số 1520</w:t>
      </w:r>
      <w:r>
        <w:rPr>
          <w:rStyle w:val="1269"/>
          <w:sz w:val="28"/>
          <w:szCs w:val="28"/>
        </w:rPr>
        <w:footnoteReference w:id="4"/>
      </w:r>
      <w:r>
        <w:rPr>
          <w:sz w:val="28"/>
          <w:szCs w:val="28"/>
        </w:rPr>
        <w:t xml:space="preserve"> </w:t>
      </w:r>
      <w:r>
        <w:rPr>
          <w:sz w:val="28"/>
          <w:szCs w:val="28"/>
        </w:rPr>
        <w:t xml:space="preserve">của Chính phủ và </w:t>
      </w:r>
      <w:r>
        <w:rPr>
          <w:sz w:val="28"/>
          <w:szCs w:val="28"/>
        </w:rPr>
        <w:t xml:space="preserve">các k</w:t>
      </w:r>
      <w:r>
        <w:rPr>
          <w:sz w:val="28"/>
          <w:szCs w:val="28"/>
        </w:rPr>
        <w:t xml:space="preserve">ế hoạch triển khai thực hiện của UBND tỉnh trong toàn thể đội ngũ cán bộ quản lý, giáo viên, người lao động trong các cơ sở giáo dục bằng nhiều hình thức phù hợp, hiệu quả</w:t>
      </w:r>
      <w:r>
        <w:rPr>
          <w:sz w:val="28"/>
          <w:szCs w:val="28"/>
        </w:rPr>
        <w:t xml:space="preserve">; </w:t>
      </w:r>
      <w:r>
        <w:rPr>
          <w:sz w:val="28"/>
          <w:szCs w:val="28"/>
        </w:rPr>
        <w:t xml:space="preserve">ký kết các chương trình phối hợp</w:t>
      </w:r>
      <w:r>
        <w:rPr>
          <w:rStyle w:val="1269"/>
          <w:sz w:val="28"/>
          <w:szCs w:val="28"/>
        </w:rPr>
        <w:footnoteReference w:id="5"/>
      </w:r>
      <w:r>
        <w:rPr>
          <w:sz w:val="28"/>
          <w:szCs w:val="28"/>
        </w:rPr>
        <w:t xml:space="preserve"> với các ngành, hội khuyến học, đơn vị</w:t>
      </w:r>
      <w:r>
        <w:rPr>
          <w:sz w:val="28"/>
          <w:szCs w:val="28"/>
        </w:rPr>
        <w:t xml:space="preserve">, địa phương</w:t>
      </w:r>
      <w:r>
        <w:rPr>
          <w:sz w:val="28"/>
          <w:szCs w:val="28"/>
        </w:rPr>
        <w:t xml:space="preserve"> có liên quan để triển khai thực hiện </w:t>
      </w:r>
      <w:r>
        <w:rPr>
          <w:sz w:val="28"/>
          <w:szCs w:val="28"/>
        </w:rPr>
        <w:t xml:space="preserve">các </w:t>
      </w:r>
      <w:r>
        <w:rPr>
          <w:sz w:val="28"/>
          <w:szCs w:val="28"/>
        </w:rPr>
        <w:t xml:space="preserve">Phong trào “Cả nước thi đua xây dựng xã hội học tập, đẩy mạnh học tập suốt đời giai đoạn 2023-2030”; </w:t>
      </w:r>
      <w:r>
        <w:rPr>
          <w:sz w:val="28"/>
          <w:szCs w:val="28"/>
        </w:rPr>
        <w:t xml:space="preserve">xây dựng </w:t>
      </w:r>
      <w:r>
        <w:rPr>
          <w:sz w:val="28"/>
          <w:szCs w:val="28"/>
        </w:rPr>
        <w:t xml:space="preserve">kế hoạch truyền thông về xây dựng xã hội h</w:t>
      </w:r>
      <w:r>
        <w:rPr>
          <w:sz w:val="28"/>
          <w:szCs w:val="28"/>
        </w:rPr>
        <w:t xml:space="preserve">ọc tập; đổi mới phương thức, mô hình hoạt động và cung ứng sản phẩm, dịch vụ hỗ trợ học tập trên nền tảng công nghệ số; tăng cường hợp tác trong tạo lập và chia sẻ thông tin, dữ liệu hỗ trợ người dân học tập suốt đời; tổ chức đào tạo, bồi dưỡng, hướng dẫn </w:t>
      </w:r>
      <w:r>
        <w:rPr>
          <w:sz w:val="28"/>
          <w:szCs w:val="28"/>
        </w:rPr>
        <w:t xml:space="preserve">nghiệp vụ thư viện cho cán bộ thư viện; triển khai các hoạt động tuyên truyền, phục vụ sách, báo, khuyến khích đọc sách, nâng cao các kỹ năng hướng dẫn khai thác, tìm kiếm thông tin cho người dân; phối hợp tổ chức Tuần lễ hưởng ứng học tập suốt đời năm 202</w:t>
      </w:r>
      <w:r>
        <w:rPr>
          <w:sz w:val="28"/>
          <w:szCs w:val="28"/>
        </w:rPr>
        <w:t xml:space="preserve">5</w:t>
      </w:r>
      <w:r>
        <w:rPr>
          <w:sz w:val="28"/>
          <w:szCs w:val="28"/>
        </w:rPr>
        <w:t xml:space="preserve"> và Ngày sách và Văn hóa đọc Việt Nam năm 202</w:t>
      </w:r>
      <w:r>
        <w:rPr>
          <w:sz w:val="28"/>
          <w:szCs w:val="28"/>
        </w:rPr>
        <w:t xml:space="preserve">6</w:t>
      </w:r>
      <w:r>
        <w:rPr>
          <w:sz w:val="28"/>
          <w:szCs w:val="28"/>
        </w:rPr>
        <w:t xml:space="preserve"> với các hoạt động thiết thực, hiệu quả.</w:t>
      </w:r>
      <w:r>
        <w:rPr>
          <w:sz w:val="28"/>
          <w:szCs w:val="28"/>
        </w:rPr>
        <w:t xml:space="preserve"> Phối hợp với địa phương p</w:t>
      </w:r>
      <w:r>
        <w:rPr>
          <w:sz w:val="28"/>
          <w:szCs w:val="28"/>
          <w:lang w:val="pt-BR"/>
        </w:rPr>
        <w:t xml:space="preserve">hát động các phong trào học tập suốt đời như “Học tập số”, “Xóa mù số”, đặc biệt hướng tới công nhân, người lao động trong khu công nghiệp và người dân ở vùng nông thôn, nhằm trang bị kỹ năng số cơ bản và hình thành thói quen tự học.</w:t>
      </w:r>
      <w:r>
        <w:rPr>
          <w:sz w:val="28"/>
          <w:szCs w:val="28"/>
          <w:lang w:val="pt-BR"/>
        </w:rPr>
      </w:r>
      <w:r>
        <w:rPr>
          <w:sz w:val="28"/>
          <w:szCs w:val="28"/>
          <w:lang w:val="pt-BR"/>
        </w:rPr>
      </w:r>
    </w:p>
    <w:p>
      <w:pPr>
        <w:pStyle w:val="1272"/>
        <w:pBdr/>
        <w:shd w:val="clear" w:color="auto" w:fill="auto"/>
        <w:spacing w:after="119" w:afterAutospacing="0" w:before="0" w:beforeAutospacing="0" w:line="240" w:lineRule="auto"/>
        <w:ind w:right="0" w:firstLine="709" w:left="0"/>
        <w:jc w:val="both"/>
        <w:rPr>
          <w:sz w:val="28"/>
          <w:szCs w:val="28"/>
          <w:lang w:val="pt-BR"/>
        </w:rPr>
      </w:pPr>
      <w:r>
        <w:rPr>
          <w:sz w:val="28"/>
          <w:szCs w:val="28"/>
          <w:lang w:val="pt-BR"/>
        </w:rPr>
        <w:t xml:space="preserve">- Phối hợp t</w:t>
      </w:r>
      <w:r>
        <w:rPr>
          <w:sz w:val="28"/>
          <w:szCs w:val="28"/>
          <w:lang w:val="pt-BR"/>
        </w:rPr>
        <w:t xml:space="preserve">ổ chức đánh giá, công nhận “Đơn vị học tập” cấp tỉnh và “Cộng đồng học tập” cấp xã bảo đảm thực chất, tránh hình thức</w:t>
      </w:r>
      <w:r>
        <w:rPr>
          <w:sz w:val="28"/>
          <w:szCs w:val="28"/>
          <w:lang w:val="pt-BR"/>
        </w:rPr>
        <w:t xml:space="preserve">.</w:t>
      </w:r>
      <w:r>
        <w:rPr>
          <w:sz w:val="28"/>
          <w:szCs w:val="28"/>
          <w:lang w:val="pt-BR"/>
        </w:rPr>
      </w:r>
      <w:r>
        <w:rPr>
          <w:sz w:val="28"/>
          <w:szCs w:val="28"/>
          <w:lang w:val="pt-BR"/>
        </w:rPr>
      </w:r>
    </w:p>
    <w:p>
      <w:pPr>
        <w:pStyle w:val="1272"/>
        <w:pBdr/>
        <w:shd w:val="clear" w:color="auto" w:fill="auto"/>
        <w:spacing w:after="119" w:afterAutospacing="0" w:before="0" w:beforeAutospacing="0" w:line="240" w:lineRule="auto"/>
        <w:ind w:right="0" w:firstLine="709" w:left="0"/>
        <w:jc w:val="both"/>
        <w:rPr>
          <w:sz w:val="28"/>
          <w:szCs w:val="28"/>
          <w:lang w:val="pt-BR"/>
        </w:rPr>
      </w:pPr>
      <w:r>
        <w:rPr>
          <w:sz w:val="28"/>
          <w:szCs w:val="28"/>
          <w:lang w:val="pt-BR"/>
        </w:rPr>
        <w:t xml:space="preserve">- </w:t>
      </w:r>
      <w:r>
        <w:rPr>
          <w:sz w:val="28"/>
          <w:szCs w:val="28"/>
          <w:lang w:val="pt-BR"/>
        </w:rPr>
        <w:t xml:space="preserve">T</w:t>
      </w:r>
      <w:r>
        <w:rPr>
          <w:sz w:val="28"/>
          <w:szCs w:val="28"/>
          <w:lang w:val="pt-BR"/>
        </w:rPr>
        <w:t xml:space="preserve">ổ chức hiệu quả Tuần lễ hưởng ứng học tập suốt đời năm 2025 (từ ngày 01/10/2025 đến ngày 07/10/2025) với chủ đề: </w:t>
      </w:r>
      <w:r>
        <w:rPr>
          <w:i/>
          <w:iCs/>
          <w:sz w:val="28"/>
          <w:szCs w:val="28"/>
          <w:lang w:val="pt-BR"/>
        </w:rPr>
        <w:t xml:space="preserve">“Học để phát triển bản thân và góp phần xây dựng đất nước hùng cường, thịnh vượng”</w:t>
      </w:r>
      <w:r>
        <w:rPr>
          <w:sz w:val="28"/>
          <w:szCs w:val="28"/>
          <w:lang w:val="pt-BR"/>
        </w:rPr>
        <w:t xml:space="preserve">.</w:t>
      </w:r>
      <w:r>
        <w:rPr>
          <w:sz w:val="28"/>
          <w:szCs w:val="28"/>
          <w:lang w:val="pt-BR"/>
        </w:rPr>
      </w:r>
      <w:r>
        <w:rPr>
          <w:sz w:val="28"/>
          <w:szCs w:val="28"/>
          <w:lang w:val="pt-BR"/>
        </w:rPr>
      </w:r>
    </w:p>
    <w:p>
      <w:pPr>
        <w:pBdr/>
        <w:tabs>
          <w:tab w:val="left" w:leader="none" w:pos="7830"/>
        </w:tabs>
        <w:spacing w:after="119" w:afterAutospacing="0" w:before="0" w:beforeAutospacing="0" w:line="240" w:lineRule="auto"/>
        <w:ind w:right="0" w:firstLine="709" w:left="0"/>
        <w:jc w:val="both"/>
        <w:rPr>
          <w:b/>
          <w:sz w:val="28"/>
          <w:szCs w:val="28"/>
        </w:rPr>
      </w:pPr>
      <w:r>
        <w:rPr>
          <w:b/>
          <w:sz w:val="28"/>
          <w:szCs w:val="28"/>
        </w:rPr>
        <w:t xml:space="preserve">2. Tăng cường công tác quản lý, kiểm tra việc thực hiện công tác xoá mù chữ, nâng cao hiệu quả phổ cập giáo dục, xoá mù chữ</w:t>
      </w:r>
      <w:r>
        <w:rPr>
          <w:b/>
          <w:sz w:val="28"/>
          <w:szCs w:val="28"/>
        </w:rPr>
      </w:r>
      <w:r>
        <w:rPr>
          <w:b/>
          <w:sz w:val="28"/>
          <w:szCs w:val="28"/>
        </w:rPr>
      </w:r>
    </w:p>
    <w:p>
      <w:pPr>
        <w:pBdr>
          <w:top w:val="none" w:color="000000" w:sz="0" w:space="0"/>
          <w:left w:val="none" w:color="000000" w:sz="0" w:space="0"/>
          <w:bottom w:val="none" w:color="000000" w:sz="0" w:space="0"/>
          <w:right w:val="none" w:color="000000" w:sz="0" w:space="0"/>
          <w:between w:val="none" w:color="000000" w:sz="0" w:space="0"/>
        </w:pBdr>
        <w:spacing w:after="119" w:afterAutospacing="0" w:before="0" w:beforeAutospacing="0" w:line="240" w:lineRule="auto"/>
        <w:ind w:right="0" w:firstLine="709" w:left="0"/>
        <w:jc w:val="both"/>
        <w:rPr>
          <w:rFonts w:eastAsia="Calibri"/>
          <w:sz w:val="28"/>
          <w:szCs w:val="28"/>
          <w:lang w:val="pt-BR"/>
          <w14:ligatures w14:val="standardContextual"/>
        </w:rPr>
      </w:pPr>
      <w:r>
        <w:rPr>
          <w:rFonts w:eastAsia="Calibri"/>
          <w:sz w:val="28"/>
          <w:szCs w:val="28"/>
          <w:lang w:val="pt-BR"/>
          <w14:ligatures w14:val="standardContextual"/>
        </w:rPr>
        <w:t xml:space="preserve">- Tăng cường ứng dụng công nghệ thông tin trong công tác XMC; đa dạng hóa hình thức tổ chức lớp học (trực tuyến, qua truyền thanh, tivi, tài liệu tự học, v.v.) để thu hút người học và tạo điều kiện thuận lợi cho người chưa biết chữ tham gia học.</w:t>
      </w:r>
      <w:r>
        <w:rPr>
          <w:rFonts w:eastAsia="Calibri"/>
          <w:sz w:val="28"/>
          <w:szCs w:val="28"/>
          <w:lang w:val="pt-BR"/>
          <w14:ligatures w14:val="standardContextual"/>
        </w:rPr>
      </w:r>
      <w:r>
        <w:rPr>
          <w:rFonts w:eastAsia="Calibri"/>
          <w:sz w:val="28"/>
          <w:szCs w:val="28"/>
          <w:lang w:val="pt-BR"/>
          <w14:ligatures w14:val="standardContextual"/>
        </w:rPr>
      </w:r>
    </w:p>
    <w:p>
      <w:pPr>
        <w:pBdr/>
        <w:spacing w:after="119" w:afterAutospacing="0" w:before="0" w:beforeAutospacing="0" w:line="240" w:lineRule="auto"/>
        <w:ind w:right="0" w:firstLine="709" w:left="0"/>
        <w:jc w:val="both"/>
        <w:rPr>
          <w:rFonts w:eastAsia="Calibri"/>
          <w:sz w:val="28"/>
          <w:szCs w:val="28"/>
          <w:lang w:val="pt-BR"/>
          <w14:ligatures w14:val="standardContextual"/>
        </w:rPr>
      </w:pPr>
      <w:r>
        <w:rPr>
          <w:rFonts w:eastAsia="Calibri"/>
          <w:sz w:val="28"/>
          <w:szCs w:val="28"/>
          <w:lang w:val="pt-BR"/>
          <w14:ligatures w14:val="standardContextual"/>
        </w:rPr>
        <w:t xml:space="preserve">- Kiện toàn Ban Chỉ đạo XMC các cấp; </w:t>
      </w:r>
      <w:r>
        <w:rPr>
          <w:rFonts w:eastAsia="Calibri"/>
          <w:sz w:val="28"/>
          <w:szCs w:val="28"/>
          <w:lang w:val="pt-BR"/>
          <w14:ligatures w14:val="standardContextual"/>
        </w:rPr>
        <w:t xml:space="preserve">các đơn vị phối hợp với</w:t>
      </w:r>
      <w:r>
        <w:rPr>
          <w:rFonts w:eastAsia="Calibri"/>
          <w:sz w:val="28"/>
          <w:szCs w:val="28"/>
          <w:lang w:val="pt-BR"/>
          <w14:ligatures w14:val="standardContextual"/>
        </w:rPr>
        <w:t xml:space="preserve"> UBND xã</w:t>
      </w:r>
      <w:r>
        <w:rPr>
          <w:rFonts w:eastAsia="Calibri"/>
          <w:sz w:val="28"/>
          <w:szCs w:val="28"/>
          <w:lang w:val="pt-BR"/>
          <w14:ligatures w14:val="standardContextual"/>
        </w:rPr>
        <w:t xml:space="preserve">, phường</w:t>
      </w:r>
      <w:r>
        <w:rPr>
          <w:rFonts w:eastAsia="Calibri"/>
          <w:sz w:val="28"/>
          <w:szCs w:val="28"/>
          <w:lang w:val="pt-BR"/>
          <w14:ligatures w14:val="standardContextual"/>
        </w:rPr>
        <w:t xml:space="preserve"> tổ chức lớp học XMC linh hoạt, phù hợp với điều kiện người học.</w:t>
      </w:r>
      <w:r>
        <w:rPr>
          <w:rFonts w:eastAsia="Calibri"/>
          <w:sz w:val="28"/>
          <w:szCs w:val="28"/>
          <w:lang w:val="pt-BR"/>
          <w14:ligatures w14:val="standardContextual"/>
        </w:rPr>
        <w:t xml:space="preserve"> </w:t>
      </w:r>
      <w:r>
        <w:rPr>
          <w:sz w:val="28"/>
          <w:szCs w:val="28"/>
        </w:rPr>
        <w:t xml:space="preserve">Các địa phương, đơn vị có liên quan tiếp tục phối hợp với các ban, ngành chuyên môn triển khai, thực hiện việc giảng dạy tiếng Việt hoặc chương trình xoá mù chữ cho trẻ em diện di dân tự do từ Campuchia về Việt Nam trên địa bàn biên giới (nếu có)</w:t>
      </w:r>
      <w:r>
        <w:rPr>
          <w:sz w:val="28"/>
          <w:szCs w:val="28"/>
        </w:rPr>
        <w:t xml:space="preserve">; </w:t>
      </w:r>
      <w:r>
        <w:rPr>
          <w:rFonts w:eastAsia="Calibri"/>
          <w:sz w:val="28"/>
          <w:szCs w:val="28"/>
          <w:lang w:eastAsia="ja-JP"/>
        </w:rPr>
        <w:t xml:space="preserve">tiếp tục phối hợp với </w:t>
      </w:r>
      <w:r>
        <w:rPr>
          <w:sz w:val="28"/>
          <w:szCs w:val="28"/>
        </w:rPr>
        <w:t xml:space="preserve">Trại giam Thạnh Ho</w:t>
      </w:r>
      <w:r>
        <w:rPr>
          <w:sz w:val="28"/>
          <w:szCs w:val="28"/>
        </w:rPr>
        <w:t xml:space="preserve">à; Trại giam Long Hoà trực thuộc Cục 10 - Bộ Công an xây dựng Kế hoạch tổ chức các lớp học xoá mù chữ cho phạm nhân giai đoạn 2022-2030. Triển khai thực hiện dạy chương trình xoá mù chữ, đánh giá học viên theo Thông tư số 33/2021/TT-BGDĐT ngày 26/11/2021; </w:t>
      </w:r>
      <w:r>
        <w:rPr>
          <w:rFonts w:eastAsia="Calibri"/>
          <w:sz w:val="28"/>
          <w:szCs w:val="28"/>
          <w:lang w:eastAsia="ja-JP"/>
        </w:rPr>
        <w:t xml:space="preserve">Thông tư số 10/2022/TT-BGDĐT ngày 12/07/2022 của Bộ trưởng Bộ GD&amp;ĐT.</w:t>
      </w:r>
      <w:r>
        <w:rPr>
          <w:rFonts w:eastAsia="Calibri"/>
          <w:sz w:val="28"/>
          <w:szCs w:val="28"/>
          <w:lang w:eastAsia="ja-JP"/>
        </w:rPr>
        <w:t xml:space="preserve"> </w:t>
      </w:r>
      <w:r>
        <w:rPr>
          <w:rFonts w:eastAsia="Calibri"/>
          <w:sz w:val="28"/>
          <w:szCs w:val="28"/>
          <w:lang w:eastAsia="ja-JP"/>
        </w:rPr>
        <w:t xml:space="preserve">Đối với người học đã hoàn t</w:t>
      </w:r>
      <w:r>
        <w:rPr>
          <w:rFonts w:eastAsia="Calibri"/>
          <w:sz w:val="28"/>
          <w:szCs w:val="28"/>
          <w:lang w:eastAsia="ja-JP"/>
        </w:rPr>
        <w:t xml:space="preserve">hành giai đoạn 1 của Chương trình XMC và GDTTSKBC ban hành kèm theo Quyết định số 13/2007/QĐ-BGDĐT ngày 03/5/2007 của Bộ trưởng Bộ GD&amp;ĐT. Sau một thời gian không học, nếu có nhu cầu học tiếp Chương trình XMC thì học theo Chương trình XMC ban hành kèm theo </w:t>
      </w:r>
      <w:r>
        <w:rPr>
          <w:sz w:val="28"/>
          <w:szCs w:val="28"/>
        </w:rPr>
        <w:t xml:space="preserve">Thông tư số 33/2021/TT-BGDĐT ngày 26/11/2021.</w:t>
      </w:r>
      <w:r>
        <w:rPr>
          <w:rFonts w:eastAsia="Calibri"/>
          <w:sz w:val="28"/>
          <w:szCs w:val="28"/>
          <w:lang w:val="pt-BR"/>
          <w14:ligatures w14:val="standardContextual"/>
        </w:rPr>
      </w:r>
      <w:r>
        <w:rPr>
          <w:rFonts w:eastAsia="Calibri"/>
          <w:sz w:val="28"/>
          <w:szCs w:val="28"/>
          <w:lang w:val="pt-BR"/>
          <w14:ligatures w14:val="standardContextual"/>
        </w:rPr>
      </w:r>
    </w:p>
    <w:p>
      <w:pPr>
        <w:pBdr>
          <w:top w:val="none" w:color="000000" w:sz="0" w:space="0"/>
          <w:left w:val="none" w:color="000000" w:sz="0" w:space="0"/>
          <w:bottom w:val="none" w:color="000000" w:sz="0" w:space="0"/>
          <w:right w:val="none" w:color="000000" w:sz="0" w:space="0"/>
          <w:between w:val="none" w:color="000000" w:sz="0" w:space="0"/>
        </w:pBdr>
        <w:spacing w:after="119" w:afterAutospacing="0" w:before="0" w:beforeAutospacing="0" w:line="240" w:lineRule="auto"/>
        <w:ind w:right="0" w:firstLine="709" w:left="0"/>
        <w:jc w:val="both"/>
        <w:rPr>
          <w:rFonts w:eastAsia="Calibri"/>
          <w:sz w:val="28"/>
          <w:szCs w:val="28"/>
          <w:lang w:val="pt-BR"/>
          <w14:ligatures w14:val="standardContextual"/>
        </w:rPr>
      </w:pPr>
      <w:r>
        <w:rPr>
          <w:rFonts w:eastAsia="Calibri"/>
          <w:sz w:val="28"/>
          <w:szCs w:val="28"/>
          <w:lang w:val="pt-BR"/>
          <w14:ligatures w14:val="standardContextual"/>
        </w:rPr>
        <w:t xml:space="preserve">- Duy trì, củng cố kết quả XMC; tổ chức các hoạt động phòng, chống tái mù chữ thông qua câu lạc bộ đọc sách, nhóm học tập cộng đồng và các hình thức học tập thường xuyên khác tại trung tâm học tập cộng đồng.</w:t>
      </w:r>
      <w:r>
        <w:rPr>
          <w:rFonts w:eastAsia="Calibri"/>
          <w:sz w:val="28"/>
          <w:szCs w:val="28"/>
          <w:lang w:val="pt-BR"/>
          <w14:ligatures w14:val="standardContextual"/>
        </w:rPr>
        <w:t xml:space="preserve"> </w:t>
      </w:r>
      <w:r>
        <w:rPr>
          <w:rFonts w:eastAsia="Calibri"/>
          <w:sz w:val="28"/>
          <w:szCs w:val="28"/>
          <w:lang w:val="pt-BR"/>
          <w14:ligatures w14:val="standardContextual"/>
        </w:rPr>
        <w:t xml:space="preserve">Tổ chức kiểm tra, công nhận kết quả XMC theo quy định.</w:t>
      </w:r>
      <w:r>
        <w:rPr>
          <w:rFonts w:eastAsia="Calibri"/>
          <w:sz w:val="28"/>
          <w:szCs w:val="28"/>
          <w:lang w:val="pt-BR"/>
          <w14:ligatures w14:val="standardContextual"/>
        </w:rPr>
      </w:r>
      <w:r>
        <w:rPr>
          <w:rFonts w:eastAsia="Calibri"/>
          <w:sz w:val="28"/>
          <w:szCs w:val="28"/>
          <w:lang w:val="pt-BR"/>
          <w14:ligatures w14:val="standardContextual"/>
        </w:rPr>
      </w:r>
    </w:p>
    <w:p>
      <w:pPr>
        <w:pBdr>
          <w:top w:val="none" w:color="000000" w:sz="0" w:space="0"/>
          <w:left w:val="none" w:color="000000" w:sz="0" w:space="0"/>
          <w:bottom w:val="none" w:color="000000" w:sz="0" w:space="0"/>
          <w:right w:val="none" w:color="000000" w:sz="0" w:space="0"/>
          <w:between w:val="none" w:color="000000" w:sz="0" w:space="0"/>
        </w:pBdr>
        <w:spacing w:after="119" w:afterAutospacing="0" w:before="0" w:beforeAutospacing="0" w:line="240" w:lineRule="auto"/>
        <w:ind w:right="0" w:firstLine="709" w:left="0"/>
        <w:jc w:val="both"/>
        <w:rPr>
          <w:rFonts w:eastAsia="Calibri"/>
          <w:sz w:val="28"/>
          <w:szCs w:val="28"/>
          <w:lang w:val="pt-BR"/>
          <w14:ligatures w14:val="standardContextual"/>
        </w:rPr>
      </w:pPr>
      <w:r>
        <w:rPr>
          <w:rFonts w:eastAsia="Calibri"/>
          <w:sz w:val="28"/>
          <w:szCs w:val="28"/>
          <w:lang w:val="pt-BR"/>
          <w14:ligatures w14:val="standardContextual"/>
        </w:rPr>
        <w:t xml:space="preserve">- Tổ chức bồi dưỡng, tập huấn nâng cao năng lực giảng dạy, kỹ năng ứng dụng công nghệ thông tin và kỹ năng hỗ trợ người học cho đội ngũ giáo viên và các lực lượng tham gia dạy XMC.</w:t>
      </w:r>
      <w:r>
        <w:rPr>
          <w:rFonts w:eastAsia="Calibri"/>
          <w:sz w:val="28"/>
          <w:szCs w:val="28"/>
          <w:lang w:val="pt-BR"/>
          <w14:ligatures w14:val="standardContextual"/>
        </w:rPr>
      </w:r>
      <w:r>
        <w:rPr>
          <w:rFonts w:eastAsia="Calibri"/>
          <w:sz w:val="28"/>
          <w:szCs w:val="28"/>
          <w:lang w:val="pt-BR"/>
          <w14:ligatures w14:val="standardContextual"/>
        </w:rPr>
      </w:r>
    </w:p>
    <w:p>
      <w:pPr>
        <w:pBdr>
          <w:top w:val="none" w:color="000000" w:sz="0" w:space="0"/>
          <w:left w:val="none" w:color="000000" w:sz="0" w:space="0"/>
          <w:bottom w:val="none" w:color="000000" w:sz="0" w:space="0"/>
          <w:right w:val="none" w:color="000000" w:sz="0" w:space="0"/>
          <w:between w:val="none" w:color="000000" w:sz="0" w:space="0"/>
        </w:pBdr>
        <w:spacing w:after="119" w:afterAutospacing="0" w:before="0" w:beforeAutospacing="0" w:line="240" w:lineRule="auto"/>
        <w:ind w:right="0" w:firstLine="709" w:left="0"/>
        <w:jc w:val="both"/>
        <w:rPr>
          <w:rFonts w:eastAsia="Calibri"/>
          <w:sz w:val="28"/>
          <w:szCs w:val="28"/>
          <w:lang w:val="pt-BR"/>
          <w14:ligatures w14:val="standardContextual"/>
        </w:rPr>
      </w:pPr>
      <w:r>
        <w:rPr>
          <w:rFonts w:eastAsia="Calibri"/>
          <w:sz w:val="28"/>
          <w:szCs w:val="28"/>
          <w:lang w:val="pt-BR"/>
          <w14:ligatures w14:val="standardContextual"/>
        </w:rPr>
        <w:t xml:space="preserve">- Tham mưu UBND tỉnh ban hành cơ chế, chính sách hỗ trợ phù hợp đối với giáo viên, lực lượng tham gia dạy XMC và người học XMC.</w:t>
      </w:r>
      <w:r>
        <w:rPr>
          <w:rFonts w:eastAsia="Calibri"/>
          <w:sz w:val="28"/>
          <w:szCs w:val="28"/>
          <w:lang w:val="pt-BR"/>
          <w14:ligatures w14:val="standardContextual"/>
        </w:rPr>
      </w:r>
      <w:r>
        <w:rPr>
          <w:rFonts w:eastAsia="Calibri"/>
          <w:sz w:val="28"/>
          <w:szCs w:val="28"/>
          <w:lang w:val="pt-BR"/>
          <w14:ligatures w14:val="standardContextual"/>
        </w:rPr>
      </w:r>
    </w:p>
    <w:p>
      <w:pPr>
        <w:pBdr/>
        <w:spacing w:after="119" w:afterAutospacing="0" w:before="0" w:beforeAutospacing="0" w:line="240" w:lineRule="auto"/>
        <w:ind w:right="0" w:firstLine="709" w:left="0"/>
        <w:jc w:val="both"/>
        <w:rPr>
          <w:sz w:val="28"/>
          <w:szCs w:val="28"/>
        </w:rPr>
      </w:pPr>
      <w:r>
        <w:rPr>
          <w:rFonts w:eastAsia="Calibri"/>
          <w:sz w:val="28"/>
          <w:szCs w:val="28"/>
          <w:lang w:eastAsia="ja-JP"/>
        </w:rPr>
        <w:t xml:space="preserve">- </w:t>
      </w:r>
      <w:r>
        <w:rPr>
          <w:rFonts w:eastAsia="Calibri"/>
          <w:sz w:val="28"/>
          <w:szCs w:val="28"/>
          <w:lang w:eastAsia="ja-JP"/>
        </w:rPr>
        <w:t xml:space="preserve">Giám đốc Trung tâm Giáo dục thường xuyên và Kỹ thuật tổng hợp xây dựng Kế </w:t>
      </w:r>
      <w:r>
        <w:rPr>
          <w:rFonts w:eastAsia="Calibri"/>
          <w:sz w:val="28"/>
          <w:szCs w:val="28"/>
          <w:lang w:eastAsia="ja-JP"/>
        </w:rPr>
        <w:t xml:space="preserve">hoạch triển khai, giảng dạy Chương trình xoá mù chữ theo nhiệm vụ và quyền hạn được quy định tại Thông tư số 10/2021/TT-BGDĐT ngày 05/04/2021 của Bộ trưởng Bộ Giáo dục và Đào tạo về ban hành Quy chế tổ chức và hoạt động của Trung tâm giáo dục thường xuyên.</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w:t>
      </w:r>
      <w:r>
        <w:rPr>
          <w:sz w:val="28"/>
          <w:szCs w:val="28"/>
        </w:rPr>
        <w:t xml:space="preserve">Các đơn vị chủ động khai thác, sử dụng Bộ tài liệu hướng dẫn thực hiện Chương trình XMC đã được đăng tải trên Trang điện tử của Bộ GD&amp;ĐT.</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3. Tăng cường công tác quản lý đối với các cơ sở giáo dục thường xuyên</w:t>
      </w:r>
      <w:r>
        <w:rPr>
          <w:b/>
          <w:sz w:val="28"/>
          <w:szCs w:val="28"/>
        </w:rPr>
      </w:r>
      <w:r>
        <w:rPr>
          <w:b/>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3.1. Đối với cơ sở giáo dục dạy chương trình giáo dục thường xuyên cấp trung học cơ sở và cấp trung học phổ thông; các trung tâm trực thuộc Sở</w:t>
      </w:r>
      <w:r>
        <w:rPr>
          <w:b/>
          <w:sz w:val="28"/>
          <w:szCs w:val="28"/>
        </w:rPr>
      </w:r>
      <w:r>
        <w:rPr>
          <w:b/>
          <w:sz w:val="28"/>
          <w:szCs w:val="28"/>
        </w:rPr>
      </w:r>
    </w:p>
    <w:p>
      <w:pPr>
        <w:pBdr/>
        <w:spacing w:after="119" w:afterAutospacing="0" w:before="0" w:beforeAutospacing="0" w:line="240" w:lineRule="auto"/>
        <w:ind w:right="0" w:firstLine="709" w:left="0"/>
        <w:jc w:val="both"/>
        <w:rPr>
          <w:iCs/>
          <w:sz w:val="28"/>
          <w:szCs w:val="28"/>
        </w:rPr>
      </w:pPr>
      <w:r>
        <w:rPr>
          <w:sz w:val="28"/>
          <w:szCs w:val="28"/>
        </w:rPr>
        <w:t xml:space="preserve">- Tận dụng tối đa cơ sở vật chất, đội ngũ giáo viên sẵn có ở địa phương để tiếp nhận học viên có nhu cầu học chương trình giáo dục thường xuyên cấp trung học cơ sở và cấp trung học phổ thông.</w:t>
      </w:r>
      <w:r>
        <w:rPr>
          <w:sz w:val="28"/>
          <w:szCs w:val="28"/>
        </w:rPr>
        <w:t xml:space="preserve"> </w:t>
      </w:r>
      <w:r>
        <w:rPr>
          <w:iCs/>
          <w:sz w:val="28"/>
          <w:szCs w:val="28"/>
        </w:rPr>
        <w:t xml:space="preserve">Phối hợp với các đơn vị có liên quan tổ chức học tập nâng cao trình độ văn hoá cho đội ngũ cán bộ công chức cấp xã, người lao động trong các khu, cụm công nghiệp, khu chế xuất, người đi xuất khẩu lao động ở các xã, huyện còn khó khăn về kinh tế. </w:t>
      </w:r>
      <w:r>
        <w:rPr>
          <w:iCs/>
          <w:sz w:val="28"/>
          <w:szCs w:val="28"/>
        </w:rPr>
      </w:r>
      <w:r>
        <w:rPr>
          <w:iCs/>
          <w:sz w:val="28"/>
          <w:szCs w:val="28"/>
        </w:rPr>
      </w:r>
    </w:p>
    <w:p>
      <w:pPr>
        <w:pBdr/>
        <w:spacing w:after="119" w:afterAutospacing="0" w:before="0" w:beforeAutospacing="0" w:line="240" w:lineRule="auto"/>
        <w:ind w:right="0" w:firstLine="709" w:left="0"/>
        <w:jc w:val="both"/>
        <w:rPr>
          <w:sz w:val="28"/>
          <w:szCs w:val="28"/>
        </w:rPr>
      </w:pPr>
      <w:r>
        <w:rPr>
          <w:iCs/>
          <w:sz w:val="28"/>
          <w:szCs w:val="28"/>
        </w:rPr>
        <w:t xml:space="preserve">- </w:t>
      </w:r>
      <w:r>
        <w:rPr>
          <w:iCs/>
          <w:sz w:val="28"/>
          <w:szCs w:val="28"/>
          <w:lang w:val="vi-VN"/>
        </w:rPr>
        <w:t xml:space="preserve">Tăng cường phối hợp với các </w:t>
      </w:r>
      <w:r>
        <w:rPr>
          <w:iCs/>
          <w:sz w:val="28"/>
          <w:szCs w:val="28"/>
        </w:rPr>
        <w:t xml:space="preserve">cơ quan, </w:t>
      </w:r>
      <w:r>
        <w:rPr>
          <w:iCs/>
          <w:sz w:val="28"/>
          <w:szCs w:val="28"/>
          <w:lang w:val="vi-VN"/>
        </w:rPr>
        <w:t xml:space="preserve">ban, ngành</w:t>
      </w:r>
      <w:r>
        <w:rPr>
          <w:iCs/>
          <w:sz w:val="28"/>
          <w:szCs w:val="28"/>
        </w:rPr>
        <w:t xml:space="preserve">,</w:t>
      </w:r>
      <w:r>
        <w:rPr>
          <w:iCs/>
          <w:sz w:val="28"/>
          <w:szCs w:val="28"/>
          <w:lang w:val="vi-VN"/>
        </w:rPr>
        <w:t xml:space="preserve"> tổ chức và cá nhân liên quan </w:t>
      </w:r>
      <w:r>
        <w:rPr>
          <w:iCs/>
          <w:sz w:val="28"/>
          <w:szCs w:val="28"/>
        </w:rPr>
        <w:t xml:space="preserve">để </w:t>
      </w:r>
      <w:r>
        <w:rPr>
          <w:iCs/>
          <w:sz w:val="28"/>
          <w:szCs w:val="28"/>
          <w:lang w:val="vi-VN"/>
        </w:rPr>
        <w:t xml:space="preserve">tổ chức các lớp bồi dưỡng ngắn hạn như: giáo dục kỹ năng sống; bồi dưỡng, nâng cao trình độ chuyên môn nghiệp vụ; bồi dưỡng ngoại ngữ, tin học; phổ biến kiến thức khoa học, kiến thức pháp </w:t>
      </w:r>
      <w:r>
        <w:rPr>
          <w:iCs/>
          <w:sz w:val="28"/>
          <w:szCs w:val="28"/>
        </w:rPr>
        <w:t xml:space="preserve">luật</w:t>
      </w:r>
      <w:r>
        <w:rPr>
          <w:iCs/>
          <w:sz w:val="28"/>
          <w:szCs w:val="28"/>
          <w:lang w:val="vi-VN"/>
        </w:rPr>
        <w:t xml:space="preserve"> cho cán bộ, công chức, học sinh và người lao động,...</w:t>
      </w:r>
      <w:r>
        <w:rPr>
          <w:iCs/>
          <w:sz w:val="28"/>
          <w:szCs w:val="28"/>
        </w:rPr>
        <w:t xml:space="preserve"> Tiếp tục thực hiện </w:t>
      </w:r>
      <w:r>
        <w:rPr>
          <w:sz w:val="28"/>
          <w:szCs w:val="28"/>
          <w:lang w:val="vi-VN"/>
        </w:rPr>
        <w:t xml:space="preserve">có hiệu quả các hoạt động giáo dục pháp luật, giáo dục chính trị, đạo đức, lối sống; giáo dục bảo vệ môi trường; giáo dục phòng chống ma túy; giáo dục an toàn giao thông</w:t>
      </w:r>
      <w:r>
        <w:rPr>
          <w:sz w:val="28"/>
          <w:szCs w:val="28"/>
        </w:rPr>
        <w:t xml:space="preserve">; xây dựng khung trường học an toàn, phòng, chống dịch bệnh nguy hiểm đối với người; xây </w:t>
      </w:r>
      <w:r>
        <w:rPr>
          <w:sz w:val="28"/>
          <w:szCs w:val="28"/>
        </w:rPr>
        <w:t xml:space="preserve">dựng môi trường giáo dục an toàn, lành mạnh, thân thiện, không có bạo lực học đường; xâm hại trẻ em; tăng cường quản lý, giáo dục chính trị tư tưởng đối với học viên trên môi trường mạng,... xây dựng và phấn đấu đạt các tiêu chí của “Trường học hạnh phúc”.</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sz w:val="28"/>
          <w:szCs w:val="28"/>
        </w:rPr>
        <w:t xml:space="preserve">- Đa dạng hoá các hình thức tư vấn, hướng nghiệp nghề đáp ứng nhu cầu của xã hội; lồng ghép nội dung giáo dục khởi nghiệp vào chương trình giảng dạy tại các cơ sở gi</w:t>
      </w:r>
      <w:r>
        <w:rPr>
          <w:sz w:val="28"/>
          <w:szCs w:val="28"/>
        </w:rPr>
        <w:t xml:space="preserve">áo dục nhằm giúp cho học viên và người lao động nhận thức đúng đắn về khởi nghiệp, khơi dậy tinh thần tự tạo việc làm, tự thân lập nghiệp, tự chủ, sáng tạo trong việc lựa chọn nghề nghiệp; đồng thời cung cấp những kiến thức và kỹ năng cần có để khởi nghiệp</w:t>
      </w:r>
      <w:r>
        <w:rPr>
          <w:sz w:val="28"/>
          <w:szCs w:val="28"/>
          <w:vertAlign w:val="superscript"/>
        </w:rPr>
        <w:t xml:space="preserve">(</w:t>
      </w:r>
      <w:r>
        <w:rPr>
          <w:rStyle w:val="1269"/>
          <w:sz w:val="28"/>
          <w:szCs w:val="28"/>
        </w:rPr>
        <w:footnoteReference w:id="6"/>
      </w:r>
      <w:r>
        <w:rPr>
          <w:sz w:val="28"/>
          <w:szCs w:val="28"/>
          <w:vertAlign w:val="superscript"/>
        </w:rPr>
        <w:t xml:space="preserve">)</w:t>
      </w:r>
      <w:r>
        <w:rPr>
          <w:sz w:val="28"/>
          <w:szCs w:val="28"/>
        </w:rPr>
        <w:t xml:space="preserve">.</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w:t>
      </w:r>
      <w:r>
        <w:rPr>
          <w:sz w:val="28"/>
          <w:szCs w:val="28"/>
          <w:lang w:val="vi-VN"/>
        </w:rPr>
        <w:t xml:space="preserve">Tăng cường </w:t>
      </w:r>
      <w:r>
        <w:rPr>
          <w:sz w:val="28"/>
          <w:szCs w:val="28"/>
        </w:rPr>
        <w:t xml:space="preserve">hoạt động tư vấn, hỗ trợ các Trung tâm Học tập cộng đồng về xây dựng kế hoạch, tài liệu học tập, tập huấn cho cán bộ quản lý, báo cáo viên của trung tâm. </w:t>
      </w:r>
      <w:r>
        <w:rPr>
          <w:sz w:val="28"/>
          <w:szCs w:val="28"/>
          <w:lang w:val="pt-BR"/>
        </w:rPr>
        <w:t xml:space="preserve">Hình thành mạng lưới giáo dục không chính quy, hỗ trợ cho sự phát triển kinh tế, văn hoá xã hội và bảo vệ môi trường nhằm nâng cao chất lượng cuộc sống của người dân tại địa phương. Trung tâm GDTX&amp;KTTH</w:t>
      </w:r>
      <w:r>
        <w:rPr>
          <w:sz w:val="28"/>
          <w:szCs w:val="28"/>
        </w:rPr>
        <w:t xml:space="preserve"> làm đầu mối tổ chức bồi dưỡ</w:t>
      </w:r>
      <w:r>
        <w:rPr>
          <w:sz w:val="28"/>
          <w:szCs w:val="28"/>
        </w:rPr>
        <w:t xml:space="preserve">ng thường xuyên; chủ động hợp tác với cơ sở giáo dục, cơ sở giáo dục đại học, tập đoàn, công ty, doanh nghiệp, kết nối và chia sẻ học liệu mở, đào tạo trực tuyến nhằm tăng cường chất lượng giáo dục và đa dạng hoá hoạt động đào tạo, bồi dưỡng tại trung tâm.</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Đẩy mạnh công tác giáo dục hướng nghiệp, phân luồng học sinh sau tốt nghiệp trung học cơ sở, trung học phổ thông tham gia giáo dục nghề nghiệp; tạo nguồn tham gia thị trường lao động và xuất khẩu lao động trong thời gian tới. </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w:t>
      </w:r>
      <w:r>
        <w:rPr>
          <w:iCs/>
          <w:sz w:val="28"/>
          <w:szCs w:val="28"/>
        </w:rPr>
        <w:t xml:space="preserve">Phối hợp với </w:t>
      </w:r>
      <w:r>
        <w:rPr>
          <w:iCs/>
          <w:sz w:val="28"/>
          <w:szCs w:val="28"/>
        </w:rPr>
        <w:t xml:space="preserve">các </w:t>
      </w:r>
      <w:r>
        <w:rPr>
          <w:iCs/>
          <w:sz w:val="28"/>
          <w:szCs w:val="28"/>
        </w:rPr>
        <w:t xml:space="preserve">cơ sở giáo dục nghề nghiệp tổ chức giảng dạy chương trình giáo dục thường xuyên cấp THPT theo quy định hiện hành</w:t>
      </w:r>
      <w:r>
        <w:rPr>
          <w:sz w:val="28"/>
          <w:szCs w:val="28"/>
          <w:vertAlign w:val="superscript"/>
        </w:rPr>
        <w:t xml:space="preserve">(</w:t>
      </w:r>
      <w:r>
        <w:rPr>
          <w:rStyle w:val="1269"/>
          <w:sz w:val="28"/>
          <w:szCs w:val="28"/>
        </w:rPr>
        <w:footnoteReference w:id="7"/>
      </w:r>
      <w:r>
        <w:rPr>
          <w:sz w:val="28"/>
          <w:szCs w:val="28"/>
          <w:vertAlign w:val="superscript"/>
        </w:rPr>
        <w:t xml:space="preserve">)</w:t>
      </w:r>
      <w:r>
        <w:rPr>
          <w:sz w:val="28"/>
          <w:szCs w:val="28"/>
        </w:rPr>
        <w:t xml:space="preserve"> cho học sinh có nhu </w:t>
      </w:r>
      <w:r>
        <w:rPr>
          <w:sz w:val="28"/>
          <w:szCs w:val="28"/>
        </w:rPr>
        <w:t xml:space="preserve">cầu</w:t>
      </w:r>
      <w:r>
        <w:rPr>
          <w:iCs/>
          <w:sz w:val="28"/>
          <w:szCs w:val="28"/>
        </w:rPr>
        <w:t xml:space="preserve">, đảm bảo quyền lợi của người học, vừa được học nghề, vừa được học </w:t>
      </w:r>
      <w:r>
        <w:rPr>
          <w:iCs/>
          <w:sz w:val="28"/>
          <w:szCs w:val="28"/>
        </w:rPr>
        <w:t xml:space="preserve">văn hoá theo tinh thần Nghị quyết số 06/NQ-CP ngày 10/01/2023 của Chính phủ về phát triển thị trường lao động linh hoạt, hiện đại, hiệu quả, bền vững và hội nhập nhằm phục hồi nhanh kinh tế - xã hội đến khi có chỉ đạo, hướng dẫn của Bộ Giáo dục và Đào tạo.</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Các cơ sở giáo dục chủ động phối hợp với các cơ sở giáo dục nghề nghiệp,</w:t>
      </w:r>
      <w:r>
        <w:rPr>
          <w:sz w:val="28"/>
          <w:szCs w:val="28"/>
        </w:rPr>
        <w:t xml:space="preserve"> Trung tâm Dịch vụ việc làm, các công ty, doanh nghiệp được giao nhiệm vụ tư vấn, đào tạo nghề, cung ứng nguồn nhân lực phục vụ cho thị trường lao động và xuất khẩu lao động; Phối hợp các trường đại học đã ký Bản ghi nhớ với Ủy ban nhân dân tỉnh (Đ</w:t>
      </w:r>
      <w:r>
        <w:rPr>
          <w:sz w:val="28"/>
          <w:szCs w:val="28"/>
        </w:rPr>
        <w:t xml:space="preserve">ại học Mở Thành phố Hồ Chí Minh, Đại học quốc tế Hồng Bàng, Đại học Kinh tế Thành phố Hồ Chí Minh, Đại học Khoa học xã hội và Nhân văn,…); Tạp chí giáo dục Thành phố Hồ Chí Minh tư vấn hướng nghiệp; đào tạo, bồi dưỡng nguồn nhân lực theo kế hoạch đã đề ra.</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Hiệu trưởng các trường THPT, Giám đốc Trung tâm GDTX&amp;KTTH chủ động phối hợp với Trường Đại họ</w:t>
      </w:r>
      <w:r>
        <w:rPr>
          <w:sz w:val="28"/>
          <w:szCs w:val="28"/>
        </w:rPr>
        <w:t xml:space="preserve">c Sư phạm Thành phố Hồ Chí Minh phân hiệu tại Long An tổ chức khảo sát, xây dựng chương trình, kế hoạch giảng dạy các ngoại ngữ như tiếng Nhật, tiếng Trung, tiếng Hàn, tiếng Đức cho học sinh, học viên có nhu cầu (được xem là môn học tự chọn - ngoại ngữ 2).</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Giám đốc Trung tâm Ngoại ngữ -</w:t>
      </w:r>
      <w:r>
        <w:rPr>
          <w:sz w:val="28"/>
          <w:szCs w:val="28"/>
        </w:rPr>
        <w:t xml:space="preserve"> Tin học Long An: theo chức năng nhiệm vụ chủ động phối hợp với các trường đại học, các Công ty, doanh nghiệp tổ chức khảo sát, xây dựng kế hoạch tuyển sinh, đào tạo bồi dưỡng ngoại ngữ, tin học nhằm đáp ứng nhu cầu học tập của người dân trên địa bàn tỉnh.</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w:t>
      </w:r>
      <w:r>
        <w:rPr>
          <w:sz w:val="28"/>
          <w:szCs w:val="28"/>
        </w:rPr>
        <w:t xml:space="preserve">Tiếp tục triển khai</w:t>
      </w:r>
      <w:r>
        <w:rPr>
          <w:sz w:val="28"/>
          <w:szCs w:val="28"/>
        </w:rPr>
        <w:t xml:space="preserve"> thực hiện Nghị quyết số 45-NQ/TW của Ban Chấp hành Trung ương Đảng (khóa XIII) về “Tiếp tục xây dựng và phát huy vai trò của đội ngũ trí thức đáp ứng yêu cầu phát triển đất nước nhanh và bền vững trong giai đoạn mới” thiết thực, mang lại hiệu quả.</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3.2. Đối với Trung tâm Học tập cộng đồng</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w:t>
      </w:r>
      <w:r>
        <w:rPr>
          <w:sz w:val="28"/>
          <w:szCs w:val="28"/>
        </w:rPr>
        <w:t xml:space="preserve">UBND xã, phường t</w:t>
      </w:r>
      <w:r>
        <w:rPr>
          <w:bCs/>
          <w:sz w:val="28"/>
          <w:szCs w:val="28"/>
        </w:rPr>
        <w:t xml:space="preserve">hực hiện</w:t>
      </w:r>
      <w:r>
        <w:rPr>
          <w:bCs/>
          <w:sz w:val="28"/>
          <w:szCs w:val="28"/>
        </w:rPr>
        <w:t xml:space="preserve"> chức năng quản lí nhà nước</w:t>
      </w:r>
      <w:r>
        <w:rPr>
          <w:bCs/>
          <w:sz w:val="28"/>
          <w:szCs w:val="28"/>
        </w:rPr>
        <w:t xml:space="preserve"> công tác học tập cộng đồng (HTCĐ) theo Thông tư số </w:t>
      </w:r>
      <w:r>
        <w:rPr>
          <w:sz w:val="28"/>
          <w:szCs w:val="28"/>
        </w:rPr>
        <w:t xml:space="preserve">11/2025/TT-BGDĐT</w:t>
      </w:r>
      <w:r>
        <w:rPr>
          <w:bCs/>
          <w:sz w:val="28"/>
          <w:szCs w:val="28"/>
        </w:rPr>
        <w:t xml:space="preserve"> ngày 12/6/2025 của Bộ GD&amp;ĐT </w:t>
      </w:r>
      <w:r>
        <w:rPr>
          <w:bCs/>
          <w:i/>
          <w:iCs/>
          <w:sz w:val="28"/>
          <w:szCs w:val="28"/>
        </w:rPr>
        <w:t xml:space="preserve">Quy định về phân quyền, phân cấp và phân định thẩm quyền thực hiện nhiệm vụ quản lý nhà nước của chính quyền địa phương hai cấp đối với giáo dục nghề nghiệp, giáo dục thường xuyên</w:t>
      </w:r>
      <w:r>
        <w:rPr>
          <w:bCs/>
          <w:sz w:val="28"/>
          <w:szCs w:val="28"/>
        </w:rPr>
        <w:t xml:space="preserve"> (Điều 5).</w:t>
      </w:r>
      <w:r>
        <w:rPr>
          <w:bCs/>
          <w:sz w:val="28"/>
          <w:szCs w:val="28"/>
        </w:rPr>
        <w:t xml:space="preserve"> </w:t>
      </w:r>
      <w:r>
        <w:rPr>
          <w:sz w:val="28"/>
          <w:szCs w:val="28"/>
          <w:lang w:val="pt-BR"/>
        </w:rPr>
        <w:t xml:space="preserve">Thành lập mới các trung tâm học tập cộng đồng. Kiện toàn đội ngũ cán bộ qu</w:t>
      </w:r>
      <w:r>
        <w:rPr>
          <w:sz w:val="28"/>
          <w:szCs w:val="28"/>
          <w:lang w:val="pt-BR"/>
        </w:rPr>
        <w:t xml:space="preserve">ản lý trung tâm học tập cộng đồng; bảo đảm trung tâm có phòng làm việc và thiết bị công nghệ thông tin phù hợp để tổ chức hoạt động học tập suốt đời cho người dân. Tăng cường quản lý, chỉ đạo nâng cao hiệu quả hoạt động của các trung tâm học tập cộng đồng.</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bCs/>
          <w:sz w:val="28"/>
          <w:szCs w:val="28"/>
        </w:rPr>
        <w:t xml:space="preserve">- Trung tâm Học tập cộng đồng</w:t>
      </w:r>
      <w:r>
        <w:rPr>
          <w:bCs/>
          <w:sz w:val="28"/>
          <w:szCs w:val="28"/>
        </w:rPr>
        <w:t xml:space="preserve">:</w:t>
      </w:r>
      <w:r>
        <w:rPr>
          <w:sz w:val="28"/>
          <w:szCs w:val="28"/>
        </w:rPr>
      </w:r>
      <w:r>
        <w:rPr>
          <w:sz w:val="28"/>
          <w:szCs w:val="28"/>
        </w:rPr>
      </w:r>
    </w:p>
    <w:p>
      <w:pPr>
        <w:pBdr/>
        <w:spacing w:after="119" w:afterAutospacing="0" w:before="0" w:beforeAutospacing="0" w:line="240" w:lineRule="auto"/>
        <w:ind w:right="0" w:firstLine="709" w:left="0"/>
        <w:jc w:val="both"/>
        <w:rPr>
          <w:b/>
          <w:bCs/>
          <w:sz w:val="28"/>
          <w:szCs w:val="28"/>
        </w:rPr>
      </w:pPr>
      <w:r>
        <w:rPr>
          <w:sz w:val="28"/>
          <w:szCs w:val="28"/>
        </w:rPr>
        <w:t xml:space="preserve">+ Chủ động rà soát, chấn chỉnh, tăng cường quản lý</w:t>
      </w:r>
      <w:r>
        <w:rPr>
          <w:sz w:val="28"/>
          <w:szCs w:val="28"/>
        </w:rPr>
        <w:t xml:space="preserve">, p</w:t>
      </w:r>
      <w:r>
        <w:rPr>
          <w:sz w:val="28"/>
          <w:szCs w:val="28"/>
        </w:rPr>
        <w:t xml:space="preserve">hối hợp </w:t>
      </w:r>
      <w:r>
        <w:rPr>
          <w:sz w:val="28"/>
          <w:szCs w:val="28"/>
        </w:rPr>
        <w:t xml:space="preserve">các ban, </w:t>
      </w:r>
      <w:r>
        <w:rPr>
          <w:sz w:val="28"/>
          <w:szCs w:val="28"/>
        </w:rPr>
        <w:t xml:space="preserve">ngành, các đơn vị có liên quan thực hiện rà soát, đề xuất những giải pháp để trung tâm hoạt động hiệu quả</w:t>
      </w:r>
      <w:r>
        <w:rPr>
          <w:sz w:val="28"/>
          <w:szCs w:val="28"/>
        </w:rPr>
        <w:t xml:space="preserve">.</w:t>
      </w:r>
      <w:r>
        <w:rPr>
          <w:b/>
          <w:bCs/>
          <w:sz w:val="28"/>
          <w:szCs w:val="28"/>
        </w:rPr>
      </w:r>
      <w:r>
        <w:rPr>
          <w:b/>
          <w:bCs/>
          <w:sz w:val="28"/>
          <w:szCs w:val="28"/>
        </w:rPr>
      </w:r>
    </w:p>
    <w:p>
      <w:pPr>
        <w:pBdr/>
        <w:spacing w:after="119" w:afterAutospacing="0" w:before="0" w:beforeAutospacing="0" w:line="240" w:lineRule="auto"/>
        <w:ind w:right="0" w:firstLine="709" w:left="0"/>
        <w:jc w:val="both"/>
        <w:rPr>
          <w:b/>
          <w:sz w:val="28"/>
          <w:szCs w:val="28"/>
        </w:rPr>
      </w:pPr>
      <w:r>
        <w:rPr>
          <w:iCs/>
          <w:sz w:val="28"/>
          <w:szCs w:val="28"/>
        </w:rPr>
        <w:t xml:space="preserve">+ Phối hợp với các cơ quan, ban ngành, đoàn thể, các tổ chức, chương trình dự án tại địa phương để tổ chức biên soạn tài liệu bồi dưỡng, cập nhật kiến thức, kỹ năng; chuyển giao công nghệ cho các trung tâm </w:t>
      </w:r>
      <w:r>
        <w:rPr>
          <w:sz w:val="28"/>
          <w:szCs w:val="28"/>
        </w:rPr>
        <w:t xml:space="preserve">văn hoá, thể thao và học tập cộng đồng</w:t>
      </w:r>
      <w:r>
        <w:rPr>
          <w:iCs/>
          <w:sz w:val="28"/>
          <w:szCs w:val="28"/>
        </w:rPr>
        <w:t xml:space="preserve">, đáp ứng nhu cầu </w:t>
      </w:r>
      <w:r>
        <w:rPr>
          <w:iCs/>
          <w:sz w:val="28"/>
          <w:szCs w:val="28"/>
          <w:lang w:val="vi-VN"/>
        </w:rPr>
        <w:t xml:space="preserve">“cần gì học nấy” của người dân trong cộng đồng</w:t>
      </w:r>
      <w:r>
        <w:rPr>
          <w:iCs/>
          <w:sz w:val="28"/>
          <w:szCs w:val="28"/>
        </w:rPr>
        <w:t xml:space="preserve"> và tạo điều kiện cho mọi người được tham gia học tập suốt đời</w:t>
      </w:r>
      <w:r>
        <w:rPr>
          <w:iCs/>
          <w:sz w:val="28"/>
          <w:szCs w:val="28"/>
        </w:rPr>
        <w:t xml:space="preserve">; </w:t>
      </w:r>
      <w:r>
        <w:rPr>
          <w:iCs/>
          <w:sz w:val="28"/>
          <w:szCs w:val="28"/>
        </w:rPr>
        <w:t xml:space="preserve">lồng ghép, phổ biến giáo dục pháp luật đối với học viên thuộc diện di dân tự do từ Campuchia về Việt Nam trên địa bàn các huyện biên giới.</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w:t>
      </w:r>
      <w:r>
        <w:rPr>
          <w:sz w:val="28"/>
          <w:szCs w:val="28"/>
          <w:lang w:val="vi-VN"/>
        </w:rPr>
        <w:t xml:space="preserve">Chú trọng việc mở rộng địa bàn hoạt động của </w:t>
      </w:r>
      <w:r>
        <w:rPr>
          <w:sz w:val="28"/>
          <w:szCs w:val="28"/>
        </w:rPr>
        <w:t xml:space="preserve">trung tâm</w:t>
      </w:r>
      <w:r>
        <w:rPr>
          <w:sz w:val="28"/>
          <w:szCs w:val="28"/>
          <w:lang w:val="vi-VN"/>
        </w:rPr>
        <w:t xml:space="preserve"> theo hướng đưa các lớp học, các hoạt động của </w:t>
      </w:r>
      <w:r>
        <w:rPr>
          <w:sz w:val="28"/>
          <w:szCs w:val="28"/>
        </w:rPr>
        <w:t xml:space="preserve">trung tâm</w:t>
      </w:r>
      <w:r>
        <w:rPr>
          <w:sz w:val="28"/>
          <w:szCs w:val="28"/>
          <w:lang w:val="vi-VN"/>
        </w:rPr>
        <w:t xml:space="preserve"> về đến tận các ấp</w:t>
      </w:r>
      <w:r>
        <w:rPr>
          <w:sz w:val="28"/>
          <w:szCs w:val="28"/>
        </w:rPr>
        <w:t xml:space="preserve">, khu phố, khu dân cư</w:t>
      </w:r>
      <w:r>
        <w:rPr>
          <w:sz w:val="28"/>
          <w:szCs w:val="28"/>
          <w:lang w:val="vi-VN"/>
        </w:rPr>
        <w:t xml:space="preserve"> để tạo điều kiện thuận lợi cho người dân trong việc tham gia học tập.</w:t>
      </w:r>
      <w:r>
        <w:rPr>
          <w:sz w:val="28"/>
          <w:szCs w:val="28"/>
        </w:rPr>
        <w:t xml:space="preserve"> Tổ chức điều tra nhu cầu học tập của cộng đồng, phối hợp với các ngành, đoàn thể xây dựng kế hoạch hoạt động hằng năm phù hợp với yêu cầu thực tế; kế hoạch hoạt động hằng năm của trung tâm phải được phê duyệt của lãnh đạo Ủy ban nhân dân cấp xã. </w:t>
      </w:r>
      <w:r>
        <w:rPr>
          <w:bCs/>
          <w:sz w:val="28"/>
          <w:szCs w:val="28"/>
        </w:rPr>
        <w:t xml:space="preserve">C</w:t>
      </w:r>
      <w:r>
        <w:rPr>
          <w:sz w:val="28"/>
          <w:szCs w:val="28"/>
        </w:rPr>
        <w:t xml:space="preserve">ác trung tâm linh hoạt tận dụng các địa điểm như nhà văn hoá ấp, khu phố, nhà dân để huy động các nguồn lực mở các lớp chuyên đề về chuyển giao khoa học kỹ thuật, dạy nghề, chăm sóc sức khỏe… đáp ứng nhu cầu “cần gì học nấy”</w:t>
      </w:r>
      <w:r>
        <w:rPr>
          <w:b/>
          <w:sz w:val="28"/>
          <w:szCs w:val="28"/>
        </w:rPr>
        <w:t xml:space="preserve"> </w:t>
      </w:r>
      <w:r>
        <w:rPr>
          <w:sz w:val="28"/>
          <w:szCs w:val="28"/>
        </w:rPr>
        <w:t xml:space="preserve">của người dân tại địa phương, cộng đồng.</w:t>
      </w:r>
      <w:r>
        <w:rPr>
          <w:sz w:val="28"/>
          <w:szCs w:val="28"/>
        </w:rPr>
      </w:r>
      <w:r>
        <w:rPr>
          <w:sz w:val="28"/>
          <w:szCs w:val="28"/>
        </w:rPr>
      </w:r>
    </w:p>
    <w:p>
      <w:pPr>
        <w:pBdr/>
        <w:spacing w:after="119" w:afterAutospacing="0" w:before="0" w:beforeAutospacing="0" w:line="240" w:lineRule="auto"/>
        <w:ind w:right="0" w:firstLine="709" w:left="0"/>
        <w:jc w:val="both"/>
        <w:rPr>
          <w:bCs/>
          <w:sz w:val="28"/>
          <w:szCs w:val="28"/>
        </w:rPr>
      </w:pPr>
      <w:r>
        <w:rPr>
          <w:sz w:val="28"/>
          <w:szCs w:val="28"/>
          <w:lang w:val="nl-NL"/>
        </w:rPr>
        <w:t xml:space="preserve">+ Khai thác tối đa nội lực của cộng đồng để tổ chức cho người dân được học tập. Khuyến khích, tạo điều kiện để các tổ chức, doanh nghiệp, cá nhân… tham gia xây dựng và hỗ trợ cho hoạt động của trung tâm. T</w:t>
      </w:r>
      <w:r>
        <w:rPr>
          <w:bCs/>
          <w:sz w:val="28"/>
          <w:szCs w:val="28"/>
          <w:lang w:val="vi-VN"/>
        </w:rPr>
        <w:t xml:space="preserve">ích cực phối hợp với các ngành, </w:t>
      </w:r>
      <w:r>
        <w:rPr>
          <w:bCs/>
          <w:sz w:val="28"/>
          <w:szCs w:val="28"/>
        </w:rPr>
        <w:t xml:space="preserve">các h</w:t>
      </w:r>
      <w:r>
        <w:rPr>
          <w:bCs/>
          <w:sz w:val="28"/>
          <w:szCs w:val="28"/>
          <w:lang w:val="vi-VN"/>
        </w:rPr>
        <w:t xml:space="preserve">ội tham mưu </w:t>
      </w:r>
      <w:r>
        <w:rPr>
          <w:bCs/>
          <w:sz w:val="28"/>
          <w:szCs w:val="28"/>
        </w:rPr>
        <w:t xml:space="preserve">Ủy ban nhân dân </w:t>
      </w:r>
      <w:r>
        <w:rPr>
          <w:bCs/>
          <w:sz w:val="28"/>
          <w:szCs w:val="28"/>
        </w:rPr>
        <w:t xml:space="preserve">xã, phường</w:t>
      </w:r>
      <w:r>
        <w:rPr>
          <w:bCs/>
          <w:sz w:val="28"/>
          <w:szCs w:val="28"/>
          <w:lang w:val="vi-VN"/>
        </w:rPr>
        <w:t xml:space="preserve"> có lộ trình đầu tư, mua sắm trang thiết bị phục vụ hoạt động</w:t>
      </w:r>
      <w:r>
        <w:rPr>
          <w:bCs/>
          <w:sz w:val="28"/>
          <w:szCs w:val="28"/>
        </w:rPr>
        <w:t xml:space="preserve"> của trung tâm đạt hiệu quả</w:t>
      </w:r>
      <w:r>
        <w:rPr>
          <w:bCs/>
          <w:sz w:val="28"/>
          <w:szCs w:val="28"/>
          <w:lang w:val="vi-VN"/>
        </w:rPr>
        <w:t xml:space="preserve">.</w:t>
      </w:r>
      <w:r>
        <w:rPr>
          <w:bCs/>
          <w:sz w:val="28"/>
          <w:szCs w:val="28"/>
        </w:rPr>
      </w:r>
      <w:r>
        <w:rPr>
          <w:bCs/>
          <w:sz w:val="28"/>
          <w:szCs w:val="28"/>
        </w:rPr>
      </w:r>
    </w:p>
    <w:p>
      <w:pPr>
        <w:pBdr/>
        <w:spacing w:after="119" w:afterAutospacing="0" w:before="0" w:beforeAutospacing="0" w:line="240" w:lineRule="auto"/>
        <w:ind w:right="0" w:firstLine="709" w:left="0"/>
        <w:jc w:val="both"/>
        <w:rPr>
          <w:bCs/>
          <w:sz w:val="28"/>
          <w:szCs w:val="28"/>
          <w:lang w:val="vi-VN"/>
        </w:rPr>
      </w:pPr>
      <w:r>
        <w:rPr>
          <w:b/>
          <w:sz w:val="28"/>
          <w:szCs w:val="28"/>
        </w:rPr>
        <w:t xml:space="preserve">3.3. Đối với các trung tâm khác thực hiện nhiệm vụ GDTX (Trung tâm ngoại ngữ, tin học; Hoạt động giáo dục kỹ năng sống, ngoài giờ chính khóa…)</w:t>
      </w:r>
      <w:r>
        <w:rPr>
          <w:bCs/>
          <w:sz w:val="28"/>
          <w:szCs w:val="28"/>
          <w:lang w:val="vi-VN"/>
        </w:rPr>
      </w:r>
      <w:r>
        <w:rPr>
          <w:bCs/>
          <w:sz w:val="28"/>
          <w:szCs w:val="28"/>
          <w:lang w:val="vi-VN"/>
        </w:rPr>
      </w:r>
    </w:p>
    <w:p>
      <w:pPr>
        <w:pBdr/>
        <w:spacing w:after="119" w:afterAutospacing="0" w:before="0" w:beforeAutospacing="0" w:line="240" w:lineRule="auto"/>
        <w:ind w:right="0" w:firstLine="709" w:left="0"/>
        <w:jc w:val="both"/>
        <w:rPr>
          <w:iCs/>
          <w:sz w:val="28"/>
          <w:szCs w:val="28"/>
        </w:rPr>
      </w:pPr>
      <w:r>
        <w:rPr>
          <w:sz w:val="28"/>
          <w:szCs w:val="28"/>
        </w:rPr>
        <w:t xml:space="preserve">- Tổ chức</w:t>
      </w:r>
      <w:r>
        <w:rPr>
          <w:sz w:val="28"/>
          <w:szCs w:val="28"/>
        </w:rPr>
        <w:t xml:space="preserve">, hoạt động</w:t>
      </w:r>
      <w:r>
        <w:rPr>
          <w:sz w:val="28"/>
          <w:szCs w:val="28"/>
        </w:rPr>
        <w:t xml:space="preserve"> thực hiện đúng </w:t>
      </w:r>
      <w:r>
        <w:rPr>
          <w:sz w:val="28"/>
          <w:szCs w:val="28"/>
        </w:rPr>
        <w:t xml:space="preserve">quy định hiện hành</w:t>
      </w:r>
      <w:r>
        <w:rPr>
          <w:sz w:val="28"/>
          <w:szCs w:val="28"/>
          <w:vertAlign w:val="superscript"/>
        </w:rPr>
        <w:t xml:space="preserve">(</w:t>
      </w:r>
      <w:r>
        <w:rPr>
          <w:rStyle w:val="1269"/>
          <w:sz w:val="28"/>
          <w:szCs w:val="28"/>
        </w:rPr>
        <w:footnoteReference w:id="8"/>
      </w:r>
      <w:r>
        <w:rPr>
          <w:sz w:val="28"/>
          <w:szCs w:val="28"/>
          <w:vertAlign w:val="superscript"/>
        </w:rPr>
        <w:t xml:space="preserve">)</w:t>
      </w:r>
      <w:r>
        <w:rPr>
          <w:sz w:val="28"/>
          <w:szCs w:val="28"/>
        </w:rPr>
        <w:t xml:space="preserve">, t</w:t>
      </w:r>
      <w:r>
        <w:rPr>
          <w:iCs/>
          <w:sz w:val="28"/>
          <w:szCs w:val="28"/>
        </w:rPr>
        <w:t xml:space="preserve">ăng cường công tác quản lý, đảm bảo các cơ sở giáo dục hoạt động đúng quy định, đảm bảo quyền, lợi ích hợp pháp của người học trên tinh thần tự nguyện, không bắt buộc. Cần lưu ý nội dung như sau:</w:t>
      </w:r>
      <w:r>
        <w:rPr>
          <w:iCs/>
          <w:sz w:val="28"/>
          <w:szCs w:val="28"/>
        </w:rPr>
      </w:r>
      <w:r>
        <w:rPr>
          <w:iCs/>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Trung tâm ngoại ngữ, tin học tổ chức và hoạt động theo đúng Quyết định cho phép hoạt động giá</w:t>
      </w:r>
      <w:r>
        <w:rPr>
          <w:sz w:val="28"/>
          <w:szCs w:val="28"/>
        </w:rPr>
        <w:t xml:space="preserve">o dục của Sở Giáo dục và Đào tạo; tuân thủ về nội dung đào tạo, bồi dưỡng; địa điểm và thời gian hoạt động giáo dục. Chủ động xây dựng chương trình, tài liệu dạy học phù hợp, đáp ứng nhu cầu của người học; giảng dạy ngoại ngữ theo Khung năng lực ngoại ngữ </w:t>
      </w:r>
      <w:r>
        <w:rPr>
          <w:rStyle w:val="1271"/>
          <w:rFonts w:ascii="Times New Roman" w:hAnsi="Times New Roman" w:cs="Times New Roman"/>
          <w:color w:val="auto"/>
          <w:sz w:val="28"/>
          <w:szCs w:val="28"/>
        </w:rPr>
        <w:t xml:space="preserve">6</w:t>
      </w:r>
      <w:r>
        <w:rPr>
          <w:sz w:val="28"/>
          <w:szCs w:val="28"/>
        </w:rPr>
        <w:t xml:space="preserve"> bậc dùng cho Việt Nam; Khuyến khích các trung </w:t>
      </w:r>
      <w:r>
        <w:rPr>
          <w:sz w:val="28"/>
          <w:szCs w:val="28"/>
        </w:rPr>
        <w:t xml:space="preserve">tâm chủ động hợp tác với các tổ chức giảng dạy và khảo thí ngoại ngữ uy tín trên thế giới trong việc xây dựng chương trình, tổ chức đào tạo, cấp văn bằng chứng chỉ đảm bảo chất lượng theo chuẩn quốc tế</w:t>
      </w:r>
      <w:r>
        <w:rPr>
          <w:sz w:val="28"/>
          <w:szCs w:val="28"/>
          <w:vertAlign w:val="superscript"/>
        </w:rPr>
        <w:t xml:space="preserve">(</w:t>
      </w:r>
      <w:r>
        <w:rPr>
          <w:rStyle w:val="1269"/>
          <w:sz w:val="28"/>
          <w:szCs w:val="28"/>
        </w:rPr>
        <w:footnoteReference w:id="9"/>
      </w:r>
      <w:r>
        <w:rPr>
          <w:sz w:val="28"/>
          <w:szCs w:val="28"/>
          <w:vertAlign w:val="superscript"/>
        </w:rPr>
        <w:t xml:space="preserve">)</w:t>
      </w:r>
      <w:r>
        <w:rPr>
          <w:sz w:val="28"/>
          <w:szCs w:val="28"/>
        </w:rPr>
        <w:t xml:space="preserve">.</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Các đơn vị tham gia tổ chức hoạt động giáo dục kỹ năng sống và hoạt động giáo dục ngoài giờ chính khoá: thực hiện theo đúng Quyết định cấp phép hoạt đ</w:t>
      </w:r>
      <w:r>
        <w:rPr>
          <w:sz w:val="28"/>
          <w:szCs w:val="28"/>
        </w:rPr>
        <w:t xml:space="preserve">ộng giáo dục của Sở Giáo dục và Đào tạo; tuân thủ về nội dung; địa điểm và thời gian hoạt động giáo dục. Trường hợp cơ sở giáo dục công lập liên kết để tổ chức các hoạt động giáo dục nêu trên, sử dụng tài sản công vào mục đích cho thuê được thực hiện theo </w:t>
      </w:r>
      <w:r>
        <w:rPr>
          <w:iCs/>
          <w:sz w:val="28"/>
          <w:szCs w:val="28"/>
        </w:rPr>
        <w:t xml:space="preserve">Thông tư số 04/2014/TT-BGDĐT ngày 28/02/2014 </w:t>
      </w:r>
      <w:r>
        <w:rPr>
          <w:sz w:val="28"/>
          <w:szCs w:val="28"/>
        </w:rPr>
        <w:t xml:space="preserve">của Bộ trưởng Bộ Giáo</w:t>
      </w:r>
      <w:r>
        <w:rPr>
          <w:sz w:val="28"/>
          <w:szCs w:val="28"/>
        </w:rPr>
        <w:t xml:space="preserve"> dục và Đào tạo ban hành Quy định quản lý hoạt động giáo dục kỹ năng sống và hoạt động giáo dục ngoài giờ chính khóa; Công văn số 3158/SGDĐT-HCQT ngày 05/9/2023 của Sở GD&amp;ĐT về việc hướng dẫn sử dụng tài sản đơn vị sự nghiệp công lập vào mục đích cho thuê.</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4. Triển khai thực hiện Chương trình giáo dục thường xuyên</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b/>
          <w:sz w:val="28"/>
          <w:szCs w:val="28"/>
        </w:rPr>
        <w:t xml:space="preserve">4.1.</w:t>
      </w:r>
      <w:r>
        <w:rPr>
          <w:sz w:val="28"/>
          <w:szCs w:val="28"/>
        </w:rPr>
        <w:t xml:space="preserve"> Thủ trưởng các cơ sở giáo dục xây dựng</w:t>
      </w:r>
      <w:r>
        <w:rPr>
          <w:sz w:val="28"/>
          <w:szCs w:val="28"/>
        </w:rPr>
        <w:t xml:space="preserve"> Kế hoạch giáo dục theo hướng linh hoạt trong dạy học, ôn tập, kiểm tra, đánh giá. Vừa chủ động, linh hoạt để thích ứng với tình hình của địa phương, đơn vị, vừa bảo đảm an toàn sức khoẻ cho học viên, giáo viên, người lao động; vừa củng cố và nâng cao chất</w:t>
      </w:r>
      <w:r>
        <w:rPr>
          <w:sz w:val="28"/>
          <w:szCs w:val="28"/>
        </w:rPr>
        <w:t xml:space="preserve"> lượng giáo dục thường xuyên. Xây dựng kế hoạch giáo dục đảm bảo mục tiêu, yêu cầu cần đạt về phẩm chất, năng lực; định hướng về nội dung, phương pháp giáo dục, hình thức tổ chức dạy học. Định hướng dạy học, đánh giá kết quả giáo dục theo quy định như sau:</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Chương trình </w:t>
      </w:r>
      <w:r>
        <w:rPr>
          <w:sz w:val="28"/>
          <w:szCs w:val="28"/>
        </w:rPr>
        <w:t xml:space="preserve">GDTX </w:t>
      </w:r>
      <w:r>
        <w:rPr>
          <w:sz w:val="28"/>
          <w:szCs w:val="28"/>
        </w:rPr>
        <w:t xml:space="preserve">cấp THCS thực hiện theo Thông tư số 36/2021/TT-BGDĐT ngày 24/12/2021 của Bộ trưởng Bộ Giáo dục và Đào tạo ban hành Chương trình Giáo dục thường xuyên cấp trung học cơ sở (35 tuần);</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Chương trình </w:t>
      </w:r>
      <w:r>
        <w:rPr>
          <w:sz w:val="28"/>
          <w:szCs w:val="28"/>
        </w:rPr>
        <w:t xml:space="preserve">GDTX </w:t>
      </w:r>
      <w:r>
        <w:rPr>
          <w:sz w:val="28"/>
          <w:szCs w:val="28"/>
        </w:rPr>
        <w:t xml:space="preserve">cấp THPT thực hiện theo Thông tư số 12/2022/TT-BGDĐT ngày 26/7/2022 của Bộ trưởng Bộ Giáo dục và Đào tạo ban hành Chương trình Giáo dục thường xuyên cấp trung học phổ thông (35 tuần)</w:t>
      </w:r>
      <w:r>
        <w:rPr>
          <w:sz w:val="28"/>
          <w:szCs w:val="28"/>
        </w:rPr>
        <w:t xml:space="preserve">.</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b/>
          <w:sz w:val="28"/>
          <w:szCs w:val="28"/>
        </w:rPr>
        <w:t xml:space="preserve">4.2.</w:t>
      </w:r>
      <w:r>
        <w:rPr>
          <w:sz w:val="28"/>
          <w:szCs w:val="28"/>
        </w:rPr>
        <w:t xml:space="preserve"> Thủ trưởng các cơ sở giáo dục chủ động xây dựng kế hoạch kiểm tra, đánh giá giữa kỳ, cuối kỳ; kiểm tra, đánh giá lại các môn học, rèn luyện trong kỳ nghỉ hè theo khung thời gian năm học 202</w:t>
      </w:r>
      <w:r>
        <w:rPr>
          <w:sz w:val="28"/>
          <w:szCs w:val="28"/>
        </w:rPr>
        <w:t xml:space="preserve">5</w:t>
      </w:r>
      <w:r>
        <w:rPr>
          <w:sz w:val="28"/>
          <w:szCs w:val="28"/>
        </w:rPr>
        <w:t xml:space="preserve">-202</w:t>
      </w:r>
      <w:r>
        <w:rPr>
          <w:sz w:val="28"/>
          <w:szCs w:val="28"/>
        </w:rPr>
        <w:t xml:space="preserve">6</w:t>
      </w:r>
      <w:r>
        <w:rPr>
          <w:sz w:val="28"/>
          <w:szCs w:val="28"/>
          <w:vertAlign w:val="superscript"/>
        </w:rPr>
        <w:t xml:space="preserve">(</w:t>
      </w:r>
      <w:r>
        <w:rPr>
          <w:rStyle w:val="1269"/>
          <w:sz w:val="28"/>
          <w:szCs w:val="28"/>
        </w:rPr>
        <w:footnoteReference w:id="10"/>
      </w:r>
      <w:r>
        <w:rPr>
          <w:sz w:val="28"/>
          <w:szCs w:val="28"/>
          <w:vertAlign w:val="superscript"/>
        </w:rPr>
        <w:t xml:space="preserve">)</w:t>
      </w:r>
      <w:r>
        <w:rPr>
          <w:sz w:val="28"/>
          <w:szCs w:val="28"/>
        </w:rPr>
        <w:t xml:space="preserve">; việc xây dựng đề kiểm tra giữa kỳ, cuối kỳ, đánh giá lại các môn học dựa trên các yêu cầu về chuẩn kiến thức, kỹ năng đối với </w:t>
      </w:r>
      <w:r>
        <w:rPr>
          <w:sz w:val="28"/>
          <w:szCs w:val="28"/>
        </w:rPr>
        <w:t xml:space="preserve">môn học quy định trong Chương trình GDTX cấp THCS và cấp THPT do Bộ trưởng Bộ GD&amp;ĐT ban hành. Việc kiểm tra giữa kỳ, cuối kỳ có sự phối hợp linh hoạt giữa các môn học, cấp học để các bài kiểm tra không tập trung vào một thời điểm gây khó khăn cho học viên.</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Tổ chức đánh giá, xếp loại học viên theo học Chương trình GDTX cấp THCS và cấp THPT được thực hiện theo các quy định tại Thông tư số 43/2021/TT-BGDĐT ngày 30/12/2021 của Bộ trưởng Bộ Giáo dục và Đào tạo quy định về đánh giá học </w:t>
      </w:r>
      <w:r>
        <w:rPr>
          <w:sz w:val="28"/>
          <w:szCs w:val="28"/>
        </w:rPr>
        <w:t xml:space="preserve">viên theo học Chương trình giáo dục thường xuyên cấp trung học cơ sở và cấp trung học phổ thông.</w:t>
      </w:r>
      <w:r>
        <w:rPr>
          <w:sz w:val="28"/>
          <w:szCs w:val="28"/>
        </w:rPr>
        <w:t xml:space="preserve"> </w:t>
      </w:r>
      <w:r>
        <w:rPr>
          <w:sz w:val="28"/>
          <w:szCs w:val="28"/>
        </w:rPr>
        <w:t xml:space="preserve">Riêng số lần đánh giá thường xuyên, định kỳ đối với “Hoạt động trải nghiệm, hướng nghiệp” và “Nội dung giáo dục địa phương” đối với chương trình GDTX cấp THCS, cấp THPT theo Chươ</w:t>
      </w:r>
      <w:r>
        <w:rPr>
          <w:sz w:val="28"/>
          <w:szCs w:val="28"/>
        </w:rPr>
        <w:t xml:space="preserve">ng trình GDPT 2018 tạm thời áp dụng theo điểm a, Khoản 3 Điều 5; điểm a, Khoản 2 Điều 6 và khoản 2 Điều 7 Thông tư số 22/2021/TT-BGDĐT ngày 20/7/2021 của Bộ trưởng Bộ Giáo dục và Đào tạo Quy định về đánh giá học sinh trung học cơ sở và trung học phổ thông.</w:t>
      </w:r>
      <w:r>
        <w:rPr>
          <w:sz w:val="28"/>
          <w:szCs w:val="28"/>
        </w:rPr>
      </w:r>
      <w:r>
        <w:rPr>
          <w:sz w:val="28"/>
          <w:szCs w:val="28"/>
        </w:rPr>
      </w:r>
    </w:p>
    <w:p>
      <w:pPr>
        <w:pBdr/>
        <w:spacing w:after="119" w:afterAutospacing="0" w:before="0" w:beforeAutospacing="0" w:line="240" w:lineRule="auto"/>
        <w:ind w:right="0" w:firstLine="709" w:left="0"/>
        <w:jc w:val="both"/>
        <w:rPr>
          <w:spacing w:val="-2"/>
          <w:sz w:val="28"/>
          <w:szCs w:val="28"/>
        </w:rPr>
      </w:pPr>
      <w:r>
        <w:rPr>
          <w:spacing w:val="-2"/>
          <w:sz w:val="28"/>
          <w:szCs w:val="28"/>
        </w:rPr>
        <w:t xml:space="preserve">- Đối với “Hoạt động trải nghiệm, hướng nghiệp”</w:t>
      </w:r>
      <w:r>
        <w:rPr>
          <w:spacing w:val="-2"/>
          <w:sz w:val="28"/>
          <w:szCs w:val="28"/>
        </w:rPr>
        <w:t xml:space="preserve">,</w:t>
      </w:r>
      <w:r>
        <w:rPr>
          <w:sz w:val="28"/>
          <w:szCs w:val="28"/>
        </w:rPr>
        <w:t xml:space="preserve"> </w:t>
      </w:r>
      <w:r>
        <w:rPr>
          <w:sz w:val="28"/>
          <w:szCs w:val="28"/>
        </w:rPr>
        <w:t xml:space="preserve">“Nội dung giáo dục địa phương”</w:t>
      </w:r>
      <w:r>
        <w:rPr>
          <w:spacing w:val="-2"/>
          <w:sz w:val="28"/>
          <w:szCs w:val="28"/>
        </w:rPr>
        <w:t xml:space="preserve">: các đơn vị xây dựng Kế hoạch giáo dục trong đó xác định cụ thể Chủ đề (nội dung); phân công</w:t>
      </w:r>
      <w:r>
        <w:rPr>
          <w:spacing w:val="-2"/>
          <w:sz w:val="28"/>
          <w:szCs w:val="28"/>
        </w:rPr>
        <w:t xml:space="preserve"> giáo viên đảm nhận Chủ đề (nội dung) nào thì phải được thể hiện trong kế hoạch giáo dục và được tính giờ thực hiện đối với Chủ đề (nội dung) đó theo phân phối chương trình (không trùng với nhiệm vụ của giáo viên làm chủ nhiệm lớp theo quy định hiện hành).</w:t>
      </w:r>
      <w:r>
        <w:rPr>
          <w:spacing w:val="-2"/>
          <w:sz w:val="28"/>
          <w:szCs w:val="28"/>
        </w:rPr>
      </w:r>
      <w:r>
        <w:rPr>
          <w:spacing w:val="-2"/>
          <w:sz w:val="28"/>
          <w:szCs w:val="28"/>
        </w:rPr>
      </w:r>
    </w:p>
    <w:p>
      <w:pPr>
        <w:pBdr/>
        <w:spacing w:after="119" w:afterAutospacing="0" w:before="0" w:beforeAutospacing="0" w:line="240" w:lineRule="auto"/>
        <w:ind w:right="0" w:firstLine="709" w:left="0"/>
        <w:jc w:val="both"/>
        <w:rPr>
          <w:sz w:val="28"/>
          <w:szCs w:val="28"/>
        </w:rPr>
      </w:pPr>
      <w:r>
        <w:rPr>
          <w:b/>
          <w:sz w:val="28"/>
          <w:szCs w:val="28"/>
        </w:rPr>
        <w:t xml:space="preserve">4.3.</w:t>
      </w:r>
      <w:r>
        <w:rPr>
          <w:sz w:val="28"/>
          <w:szCs w:val="28"/>
        </w:rPr>
        <w:t xml:space="preserve"> Thủ trưởng các đơn vị linh hoạt trong việc xếp lớp (đối với học viên không đủ điều kiện lên lớp) ho</w:t>
      </w:r>
      <w:r>
        <w:rPr>
          <w:sz w:val="28"/>
          <w:szCs w:val="28"/>
        </w:rPr>
        <w:t xml:space="preserve">ặc tiếp nhận học viên vào học Chương trình GDTX cấp THCS, cấp THPT thuộc chương trình GDTX hiện hành và chương trình GDTX theo Chương trình giáo dục phổ thông 2018 đảm bảo về cơ sở vật chất và giáo viên theo quy định. Làm tốt công tác truyền thông để người</w:t>
      </w:r>
      <w:r>
        <w:rPr>
          <w:sz w:val="28"/>
          <w:szCs w:val="28"/>
        </w:rPr>
        <w:t xml:space="preserve"> học được bình đẳng về cơ hội giáo dục và học tập. Khi xây dựng kế hoạch dạy các môn học, các đơn vị lưu ý việc bổ trợ (ôn tập, phụ đạo) các nội dung cần thiết cho học viên tại thời điểm hiện tại và chuẩn bị cho học viên tiếp tục học ở những lớp tiếp theo.</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Đối với việc tuyển sinh vào các lớp không phải lớp đầu cấp, nếu người học có học bạ thể hiện kết quả học tập đạt yêu </w:t>
      </w:r>
      <w:r>
        <w:rPr>
          <w:sz w:val="28"/>
          <w:szCs w:val="28"/>
        </w:rPr>
        <w:t xml:space="preserve">cầu và được lên lớp thì trung tâm (cơ sở giáo dục) sắp xếp cho học lớp tiếp theo của chương trình GDTX cấp THCS, THPT. Học viên chủ động tự học bổ sung kiến thức để có thể học được các môn học lựa chọn, cụm chuyên đề học tập của chương trình GDTX cấp THPT.</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5. Nâng cao chất lượng đội ngũ cán bộ quản lý, giáo viên, cộng tác viên trong các cơ sở giáo dục thường xuyên</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Thủ trưởng các đơn vị chú trọng công tác bồi dưỡng thường xuyên cho đội ngũ cán bộ quản lý, giáo viên, cộng tác viên các cơ sở giáo dục thực hiện nhiệm vụ GDTX về chương trình, sách giáo khoa theo Chươ</w:t>
      </w:r>
      <w:r>
        <w:rPr>
          <w:sz w:val="28"/>
          <w:szCs w:val="28"/>
        </w:rPr>
        <w:t xml:space="preserve">ng trình GDPT 2018 các môn văn hoá đồng thời với giáo viên các trường phổ thông cùng cấp học, chuẩn bị điều kiện tốt nhất cho việc thực hiện Chương trình giáo dục phổ thông 2018 cấp trung học cơ sở, trung học phổ thông đối với GDTX. Rà soát, đánh giá và cô</w:t>
      </w:r>
      <w:r>
        <w:rPr>
          <w:sz w:val="28"/>
          <w:szCs w:val="28"/>
        </w:rPr>
        <w:t xml:space="preserve">ng khai các điều kiện cơ sở vật chất; Tích cực tham mưu việc đầu tư, xây dựng cơ sở vật chất, trang thiết bị dạy học đáp ứng yêu cầu đổi mới Chương trình giáo dục phổ thông 2018 cấp trung học cơ sở, trung học phổ thông đối với GDTX tại Trung tâm GDTX&amp;KTTH.</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iCs/>
          <w:sz w:val="28"/>
          <w:szCs w:val="28"/>
        </w:rPr>
        <w:t xml:space="preserve">- </w:t>
      </w:r>
      <w:r>
        <w:rPr>
          <w:iCs/>
          <w:sz w:val="28"/>
          <w:szCs w:val="28"/>
        </w:rPr>
        <w:t xml:space="preserve">UBND xã, phường</w:t>
      </w:r>
      <w:r>
        <w:rPr>
          <w:iCs/>
          <w:sz w:val="28"/>
          <w:szCs w:val="28"/>
        </w:rPr>
        <w:t xml:space="preserve"> phối hợp các đơn vị liên quan hướng dẫn các Trung tâm </w:t>
      </w:r>
      <w:r>
        <w:rPr>
          <w:sz w:val="28"/>
          <w:szCs w:val="28"/>
        </w:rPr>
        <w:t xml:space="preserve">Học tập cộng đồng</w:t>
      </w:r>
      <w:r>
        <w:rPr>
          <w:iCs/>
          <w:sz w:val="28"/>
          <w:szCs w:val="28"/>
        </w:rPr>
        <w:t xml:space="preserve"> vận động các chuyên gia, giáo viên, báo cáo viên là những người có kinh nghiệm trong các lĩnh vực của đời sống tham gia cùng ban quản lý trung tâm xây dựng kế hoạch, định hướng phát triển, đồng thời tổ chức các lớp học đáp </w:t>
      </w:r>
      <w:r>
        <w:rPr>
          <w:iCs/>
          <w:sz w:val="28"/>
          <w:szCs w:val="28"/>
        </w:rPr>
        <w:t xml:space="preserve">ứng nhu cầu học tập của người dân (XMC, chương trình GDTX cấp THCS, THPT,...). </w:t>
      </w:r>
      <w:r>
        <w:rPr>
          <w:sz w:val="28"/>
          <w:szCs w:val="28"/>
          <w:lang w:val="vi-VN"/>
        </w:rPr>
        <w:t xml:space="preserve">Phối hợp t</w:t>
      </w:r>
      <w:r>
        <w:rPr>
          <w:bCs/>
          <w:sz w:val="28"/>
          <w:szCs w:val="28"/>
          <w:lang w:val="vi-VN"/>
        </w:rPr>
        <w:t xml:space="preserve">ổ chức đào tạo, bồi dưỡng, tập huấn cho cán bộ</w:t>
      </w:r>
      <w:r>
        <w:rPr>
          <w:bCs/>
          <w:sz w:val="28"/>
          <w:szCs w:val="28"/>
        </w:rPr>
        <w:t xml:space="preserve"> quản lý</w:t>
      </w:r>
      <w:r>
        <w:rPr>
          <w:bCs/>
          <w:sz w:val="28"/>
          <w:szCs w:val="28"/>
          <w:lang w:val="vi-VN"/>
        </w:rPr>
        <w:t xml:space="preserve">, giáo viên… của </w:t>
      </w:r>
      <w:r>
        <w:rPr>
          <w:bCs/>
          <w:sz w:val="28"/>
          <w:szCs w:val="28"/>
        </w:rPr>
        <w:t xml:space="preserve">trung tâm </w:t>
      </w:r>
      <w:r>
        <w:rPr>
          <w:bCs/>
          <w:sz w:val="28"/>
          <w:szCs w:val="28"/>
          <w:lang w:val="vi-VN"/>
        </w:rPr>
        <w:t xml:space="preserve">về kiến thức quản lý nhà nước, chuyên môn, nghiệp vụ</w:t>
      </w:r>
      <w:r>
        <w:rPr>
          <w:sz w:val="28"/>
          <w:szCs w:val="28"/>
          <w:lang w:val="vi-VN"/>
        </w:rPr>
        <w:t xml:space="preserve">.</w:t>
      </w:r>
      <w:r>
        <w:rPr>
          <w:sz w:val="28"/>
          <w:szCs w:val="28"/>
        </w:rPr>
        <w:t xml:space="preserve"> </w:t>
      </w:r>
      <w:r>
        <w:rPr>
          <w:sz w:val="28"/>
          <w:szCs w:val="28"/>
          <w:lang w:val="nl-NL"/>
        </w:rPr>
        <w:t xml:space="preserve">Chủ trì phối hợp với các ngành, đoàn thể trên địa bàn huyện tổ chức biên soạn tài liệu giảng dạy tại trung tâm phù hợp với thực tế địa phương.</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Chủ đầu tư các trung tâm ngoại ngữ, tin học chủ động và tạo điều kiện</w:t>
      </w:r>
      <w:r>
        <w:rPr>
          <w:sz w:val="28"/>
          <w:szCs w:val="28"/>
        </w:rPr>
        <w:t xml:space="preserve"> cho đội ngũ quản lý và giáo viên của trung tâm được tham gia đào tạo, bồi dưỡng nâng cao trình độ chuyên môn, nghiệp vụ đảm bảo nắm vững và thực hiện nghiêm túc các quy định quản lý và tổ chức dạy học của ngành cũng như lĩnh vực dạy học cụ thể của đơn vị.</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6. Củng cố mạng lưới các cơ sở giáo dục thường xuyên; tăng cường cơ sở vật chất đảm bảo chất lượng các hoạt động giáo dục đối với các cơ sở giáo dục thường xuyên</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Tận dụng tối đa cơ sở vật chất, đội ngũ giáo viên sẵn có của Trung tâm GDTX&amp;KTTH để tiếp nhận học viên có nhu cầu học chương trình giáo dục thường xuyên cấp trung học cơ sở và cấp trung học phổ thông. </w:t>
      </w:r>
      <w:r>
        <w:rPr>
          <w:iCs/>
          <w:sz w:val="28"/>
          <w:szCs w:val="28"/>
        </w:rPr>
        <w:t xml:space="preserve">Phối hợp với các đơn vị có liên quan tổ chức học tập nâng cao trình độ văn hoá cho đội ngũ </w:t>
      </w:r>
      <w:r>
        <w:rPr>
          <w:iCs/>
          <w:sz w:val="28"/>
          <w:szCs w:val="28"/>
        </w:rPr>
        <w:t xml:space="preserve">cán bộ, công chức cấp xã, người lao động trong các khu, cụm công nghiệp, khu chế xuất, người đi xuất khẩu lao động ở các xã, huyện còn khó khăn về kinh tế. Tiếp tục phối hợp tổ chức các lớp học chương trình GDTX cấp THPT tại các cơ sở giáo dục nghề nghiệp.</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Duy trì hoạt động dạy và học chương trình GDTX tại các trường có cấp học THPT; các chương trình bồi dưỡng đáp ứng nhu cầu của người học tại Trung tâm Học tập cộng đồng; cơ sở giáo dục khác (</w:t>
      </w:r>
      <w:r>
        <w:rPr>
          <w:sz w:val="28"/>
          <w:szCs w:val="28"/>
        </w:rPr>
        <w:t xml:space="preserve">t</w:t>
      </w:r>
      <w:r>
        <w:rPr>
          <w:sz w:val="28"/>
          <w:szCs w:val="28"/>
        </w:rPr>
        <w:t xml:space="preserve">rung tâm ngoại ngữ, tin học), đảm bảo đủ thời lượng, kiến thức, kỹ năng và kiên trì thực hiện mục tiêu chất lượng đối với giáo dục thường xuyên.</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7. Tăng cường công tác kiểm tra việc thực hiện các quy định về giáo dục thường xuyên</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Tăng cường công tác kiểm tra, giám sát công tác quản lý nhà nước đối với GDTX theo quân cấp quản lý, tăng quyền tự chủ, giải trình của các đơn vị gắn với trách nhiệm của người đứng đầu cơ sở giáo dục.</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Thực hiện tự kiểm tra, rà soát quy chế hoạt động giáo dục của trung tâm; quản lý các khoản thu theo quy định; công khai các điều kiện đảm bảo chất lượng tại các trung tâm (điều kiện cơ sở vật chất, thiết bị dạy học, đội ngũ giáo viên,…).</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Kịp thời khắc phục, kiến nghị chỉ đạo khắc phục những hạn chế, thiếu sót (nếu có) qua thông báo kết quả thanh tra, kiểm tra, giám sát của các cấp quản lý.</w:t>
      </w:r>
      <w:r>
        <w:rPr>
          <w:sz w:val="28"/>
          <w:szCs w:val="28"/>
        </w:rPr>
      </w:r>
      <w:r>
        <w:rPr>
          <w:sz w:val="28"/>
          <w:szCs w:val="28"/>
        </w:rPr>
      </w:r>
    </w:p>
    <w:p>
      <w:pPr>
        <w:pBdr/>
        <w:spacing w:after="119" w:afterAutospacing="0" w:before="0" w:beforeAutospacing="0" w:line="240" w:lineRule="auto"/>
        <w:ind w:right="0" w:firstLine="709" w:left="0"/>
        <w:jc w:val="both"/>
        <w:rPr>
          <w:b/>
          <w:sz w:val="28"/>
          <w:szCs w:val="28"/>
        </w:rPr>
      </w:pPr>
      <w:r>
        <w:rPr>
          <w:b/>
          <w:sz w:val="28"/>
          <w:szCs w:val="28"/>
        </w:rPr>
        <w:t xml:space="preserve">8. Công tác truyền thông</w:t>
      </w:r>
      <w:r>
        <w:rPr>
          <w:b/>
          <w:sz w:val="28"/>
          <w:szCs w:val="28"/>
        </w:rPr>
      </w:r>
      <w:r>
        <w:rPr>
          <w:b/>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w:t>
      </w:r>
      <w:r>
        <w:rPr>
          <w:sz w:val="28"/>
          <w:szCs w:val="28"/>
        </w:rPr>
        <w:t xml:space="preserve">Đổi mới công tác truyền thông, xác định công tác truyền thông vừa là nhiệm vụ trọng tâm đồng thời là giải pháp ưu tiên để nâng cao nhận thức, trách nhiệm và chia sẻ, học tập cách làm hay, thực hiện thành công nhiệm vụ năm học, đáp ứng yêu cầu đổi mới GDTX.</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Xây dự</w:t>
      </w:r>
      <w:r>
        <w:rPr>
          <w:sz w:val="28"/>
          <w:szCs w:val="28"/>
        </w:rPr>
        <w:t xml:space="preserve">ng kế hoạch, nội dung truyền thông cụ thể; Chủ động phối hợp với các báo, đài địa phương định kỳ phát sóng các tin, bài viết,… trong thực hiện nhiệm vụ GDTX; đồng thời chia sẻ để mọi người hiểu, đánh giá đúng và ghi nhận những nỗ lực đổi mới của ngành học.</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 Khuyến khích đội ngũ giáo viên, cán bộ quản lý giáo dục, học viên GDTX viết và đưa tin, bài về các hoạt động GDTX, về</w:t>
      </w:r>
      <w:r>
        <w:rPr>
          <w:sz w:val="28"/>
          <w:szCs w:val="28"/>
        </w:rPr>
        <w:t xml:space="preserve"> học tập suốt đời, xây dựng xã hội học tập; thực trạng và kết quả triển khai thực hiện Chương trình GDTX cấp THCS và cấp THPT theo Chương trình GDPT 2018; tham gia viết bài và đăng bài truyền thông trên các trang thông tin điện tử của Sở GD&amp;ĐT, của đơn vị.</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b/>
          <w:sz w:val="28"/>
          <w:szCs w:val="28"/>
        </w:rPr>
        <w:t xml:space="preserve">III. TỔ CHỨC THỰC HIỆN</w:t>
      </w:r>
      <w:r>
        <w:rPr>
          <w:sz w:val="28"/>
          <w:szCs w:val="28"/>
        </w:rPr>
      </w:r>
      <w:r>
        <w:rPr>
          <w:sz w:val="28"/>
          <w:szCs w:val="28"/>
        </w:rPr>
      </w:r>
    </w:p>
    <w:p>
      <w:pPr>
        <w:pBdr/>
        <w:spacing w:after="119" w:afterAutospacing="0" w:before="0" w:beforeAutospacing="0" w:line="240" w:lineRule="auto"/>
        <w:ind w:right="0" w:firstLine="709" w:left="0"/>
        <w:jc w:val="both"/>
        <w:rPr>
          <w:sz w:val="28"/>
          <w:szCs w:val="28"/>
        </w:rPr>
      </w:pPr>
      <w:r>
        <w:rPr>
          <w:sz w:val="28"/>
          <w:szCs w:val="28"/>
        </w:rPr>
        <w:t xml:space="preserve">Theo nội dung nêu trên, thủ trưởng các đơn vị căn cứ tình hình thực tế tại địa phương và đơn vị, ch</w:t>
      </w:r>
      <w:r>
        <w:rPr>
          <w:sz w:val="28"/>
          <w:szCs w:val="28"/>
        </w:rPr>
        <w:t xml:space="preserve">ủ động xây dựng kế hoạch hoạt động giáo dục linh hoạt, thích ứng, phù hợp với hướng dẫn của ngành giáo dục. Trong quá trình triển khai thực hiện, nếu có khó khăn vướng mắc, đề nghị các đơn vị phản ánh, báo cáo về Sở Giáo dục và Đào tạo (qua Phòng Giáo dục </w:t>
      </w:r>
      <w:r>
        <w:rPr>
          <w:sz w:val="28"/>
          <w:szCs w:val="28"/>
        </w:rPr>
        <w:t xml:space="preserve">nghề nghiệp – Giáo dục thường xuyên</w:t>
      </w:r>
      <w:r>
        <w:rPr>
          <w:sz w:val="28"/>
          <w:szCs w:val="28"/>
        </w:rPr>
        <w:t xml:space="preserve">) để được hướng dẫn./.</w:t>
      </w:r>
      <w:r>
        <w:rPr>
          <w:sz w:val="28"/>
          <w:szCs w:val="28"/>
        </w:rPr>
      </w:r>
      <w:r>
        <w:rPr>
          <w:sz w:val="28"/>
          <w:szCs w:val="28"/>
        </w:rPr>
      </w:r>
    </w:p>
    <w:p>
      <w:pPr>
        <w:pBdr/>
        <w:spacing/>
        <w:ind w:firstLine="539"/>
        <w:jc w:val="both"/>
        <w:rPr>
          <w:sz w:val="16"/>
          <w:szCs w:val="16"/>
        </w:rPr>
      </w:pPr>
      <w:r>
        <w:rPr>
          <w:sz w:val="16"/>
          <w:szCs w:val="16"/>
        </w:rPr>
      </w:r>
      <w:r>
        <w:rPr>
          <w:sz w:val="16"/>
          <w:szCs w:val="16"/>
        </w:rPr>
      </w:r>
      <w:r>
        <w:rPr>
          <w:sz w:val="16"/>
          <w:szCs w:val="16"/>
        </w:rPr>
      </w:r>
    </w:p>
    <w:tbl>
      <w:tblPr>
        <w:tblStyle w:val="12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8"/>
        <w:gridCol w:w="4514"/>
      </w:tblGrid>
      <w:tr>
        <w:trPr/>
        <w:tc>
          <w:tcPr>
            <w:tcBorders/>
            <w:tcW w:w="4678" w:type="dxa"/>
            <w:textDirection w:val="lrTb"/>
            <w:noWrap w:val="false"/>
          </w:tcPr>
          <w:p>
            <w:pPr>
              <w:pStyle w:val="1259"/>
              <w:pBdr/>
              <w:spacing/>
              <w:ind w:firstLine="0"/>
              <w:rPr>
                <w:rFonts w:ascii="Times New Roman" w:hAnsi="Times New Roman"/>
                <w:b/>
                <w:bCs/>
                <w:i/>
                <w:sz w:val="24"/>
                <w:szCs w:val="24"/>
                <w:lang w:val="da-DK"/>
              </w:rPr>
            </w:pPr>
            <w:r>
              <w:rPr>
                <w:rFonts w:ascii="Times New Roman" w:hAnsi="Times New Roman"/>
                <w:sz w:val="24"/>
                <w:szCs w:val="24"/>
                <w:highlight w:val="none"/>
                <w:lang w:val="da-DK"/>
              </w:rPr>
            </w:r>
            <w:r>
              <w:rPr>
                <w:rFonts w:ascii="Times New Roman" w:hAnsi="Times New Roman"/>
                <w:sz w:val="24"/>
                <w:szCs w:val="24"/>
                <w:highlight w:val="none"/>
                <w:lang w:val="da-DK"/>
              </w:rPr>
            </w:r>
            <w:r>
              <w:rPr>
                <w:rFonts w:ascii="Times New Roman" w:hAnsi="Times New Roman"/>
                <w:b/>
                <w:bCs/>
                <w:i/>
                <w:sz w:val="24"/>
                <w:szCs w:val="24"/>
                <w:lang w:val="da-DK"/>
              </w:rPr>
            </w:r>
          </w:p>
          <w:p>
            <w:pPr>
              <w:pStyle w:val="1259"/>
              <w:pBdr/>
              <w:spacing/>
              <w:ind w:firstLine="0"/>
              <w:rPr>
                <w:rFonts w:ascii="Times New Roman" w:hAnsi="Times New Roman"/>
                <w:iCs/>
                <w:sz w:val="24"/>
                <w:szCs w:val="24"/>
                <w:highlight w:val="none"/>
                <w:u w:val="none"/>
              </w:rPr>
            </w:pPr>
            <w:r>
              <w:rPr>
                <w:rFonts w:ascii="Times New Roman" w:hAnsi="Times New Roman"/>
                <w:b/>
                <w:bCs/>
                <w:i/>
                <w:iCs/>
                <w:sz w:val="24"/>
                <w:szCs w:val="24"/>
                <w:u w:val="none"/>
                <w:lang w:val="da-DK"/>
              </w:rPr>
              <w:t xml:space="preserve">Nơi nhận:</w:t>
            </w:r>
            <w:r>
              <w:rPr>
                <w:rFonts w:ascii="Times New Roman" w:hAnsi="Times New Roman"/>
                <w:b/>
                <w:bCs/>
                <w:i/>
                <w:iCs/>
                <w:sz w:val="24"/>
                <w:szCs w:val="24"/>
                <w:u w:val="none"/>
                <w:lang w:val="da-DK"/>
              </w:rPr>
            </w:r>
            <w:r>
              <w:rPr>
                <w:rFonts w:ascii="Times New Roman" w:hAnsi="Times New Roman"/>
                <w:iCs/>
                <w:sz w:val="24"/>
                <w:szCs w:val="24"/>
                <w:highlight w:val="none"/>
                <w:u w:val="none"/>
              </w:rPr>
            </w:r>
          </w:p>
          <w:p>
            <w:pPr>
              <w:pBdr/>
              <w:spacing/>
              <w:ind/>
              <w:rPr>
                <w:sz w:val="22"/>
                <w:szCs w:val="22"/>
                <w:lang w:val="da-DK"/>
              </w:rPr>
            </w:pPr>
            <w:r>
              <w:rPr>
                <w:sz w:val="22"/>
                <w:szCs w:val="22"/>
                <w:lang w:val="da-DK"/>
              </w:rPr>
              <w:t xml:space="preserve">- Như trên;</w:t>
            </w:r>
            <w:r>
              <w:rPr>
                <w:sz w:val="22"/>
                <w:szCs w:val="22"/>
                <w:lang w:val="da-DK"/>
              </w:rPr>
            </w:r>
            <w:r>
              <w:rPr>
                <w:sz w:val="22"/>
                <w:szCs w:val="22"/>
                <w:lang w:val="da-DK"/>
              </w:rPr>
            </w:r>
          </w:p>
          <w:p>
            <w:pPr>
              <w:pBdr/>
              <w:tabs>
                <w:tab w:val="left" w:leader="none" w:pos="2040"/>
              </w:tabs>
              <w:spacing/>
              <w:ind/>
              <w:rPr>
                <w:sz w:val="22"/>
                <w:szCs w:val="22"/>
                <w:lang w:val="da-DK"/>
              </w:rPr>
            </w:pPr>
            <w:r>
              <w:rPr>
                <w:sz w:val="22"/>
                <w:szCs w:val="22"/>
                <w:lang w:val="da-DK"/>
              </w:rPr>
              <w:t xml:space="preserve">- </w:t>
            </w:r>
            <w:r>
              <w:rPr>
                <w:sz w:val="22"/>
                <w:szCs w:val="22"/>
                <w:lang w:val="da-DK"/>
              </w:rPr>
              <w:t xml:space="preserve">Cục</w:t>
            </w:r>
            <w:r>
              <w:rPr>
                <w:sz w:val="22"/>
                <w:szCs w:val="22"/>
                <w:lang w:val="da-DK"/>
              </w:rPr>
              <w:t xml:space="preserve"> </w:t>
            </w:r>
            <w:r>
              <w:rPr>
                <w:sz w:val="22"/>
                <w:szCs w:val="22"/>
                <w:lang w:val="da-DK"/>
              </w:rPr>
              <w:t xml:space="preserve">GDNN-</w:t>
            </w:r>
            <w:r>
              <w:rPr>
                <w:sz w:val="22"/>
                <w:szCs w:val="22"/>
                <w:lang w:val="da-DK"/>
              </w:rPr>
              <w:t xml:space="preserve">GDTX, Bộ GD&amp;ĐT (b/c);</w:t>
            </w:r>
            <w:r>
              <w:rPr>
                <w:sz w:val="22"/>
                <w:szCs w:val="22"/>
                <w:lang w:val="da-DK"/>
              </w:rPr>
            </w:r>
            <w:r>
              <w:rPr>
                <w:sz w:val="22"/>
                <w:szCs w:val="22"/>
                <w:lang w:val="da-DK"/>
              </w:rPr>
            </w:r>
          </w:p>
          <w:p>
            <w:pPr>
              <w:pBdr/>
              <w:spacing/>
              <w:ind/>
              <w:rPr>
                <w:sz w:val="22"/>
                <w:szCs w:val="22"/>
                <w:lang w:val="da-DK"/>
              </w:rPr>
            </w:pPr>
            <w:r>
              <w:rPr>
                <w:sz w:val="22"/>
                <w:szCs w:val="22"/>
                <w:lang w:val="da-DK"/>
              </w:rPr>
              <w:t xml:space="preserve">- Trại giam Thạnh Hoà; </w:t>
            </w:r>
            <w:r>
              <w:rPr>
                <w:sz w:val="22"/>
                <w:szCs w:val="22"/>
                <w:lang w:val="da-DK"/>
              </w:rPr>
              <w:t xml:space="preserve">Trại giam Long Hoà;</w:t>
            </w:r>
            <w:r>
              <w:rPr>
                <w:sz w:val="22"/>
                <w:szCs w:val="22"/>
                <w:lang w:val="da-DK"/>
              </w:rPr>
            </w:r>
            <w:r>
              <w:rPr>
                <w:sz w:val="22"/>
                <w:szCs w:val="22"/>
                <w:lang w:val="da-DK"/>
              </w:rPr>
            </w:r>
          </w:p>
          <w:p>
            <w:pPr>
              <w:pBdr/>
              <w:spacing/>
              <w:ind/>
              <w:rPr>
                <w:sz w:val="22"/>
                <w:szCs w:val="22"/>
                <w:lang w:val="da-DK"/>
              </w:rPr>
            </w:pPr>
            <w:r>
              <w:rPr>
                <w:sz w:val="22"/>
                <w:szCs w:val="22"/>
                <w:lang w:val="da-DK"/>
              </w:rPr>
              <w:t xml:space="preserve">- </w:t>
            </w:r>
            <w:r>
              <w:rPr>
                <w:sz w:val="22"/>
                <w:szCs w:val="22"/>
                <w:lang w:val="da-DK"/>
              </w:rPr>
              <w:t xml:space="preserve">GĐ</w:t>
            </w:r>
            <w:r>
              <w:rPr>
                <w:sz w:val="22"/>
                <w:szCs w:val="22"/>
                <w:lang w:val="da-DK"/>
              </w:rPr>
              <w:t xml:space="preserve">, các </w:t>
            </w:r>
            <w:r>
              <w:rPr>
                <w:sz w:val="22"/>
                <w:szCs w:val="22"/>
                <w:lang w:val="da-DK"/>
              </w:rPr>
              <w:t xml:space="preserve">PGĐ</w:t>
            </w:r>
            <w:r>
              <w:rPr>
                <w:sz w:val="22"/>
                <w:szCs w:val="22"/>
                <w:lang w:val="da-DK"/>
              </w:rPr>
              <w:t xml:space="preserve"> Sở;</w:t>
            </w:r>
            <w:r>
              <w:rPr>
                <w:sz w:val="22"/>
                <w:szCs w:val="22"/>
                <w:lang w:val="da-DK"/>
              </w:rPr>
            </w:r>
            <w:r>
              <w:rPr>
                <w:sz w:val="22"/>
                <w:szCs w:val="22"/>
                <w:lang w:val="da-DK"/>
              </w:rPr>
            </w:r>
          </w:p>
          <w:p>
            <w:pPr>
              <w:pBdr/>
              <w:spacing/>
              <w:ind/>
              <w:rPr>
                <w:sz w:val="22"/>
                <w:szCs w:val="22"/>
                <w:lang w:val="da-DK"/>
              </w:rPr>
            </w:pPr>
            <w:r>
              <w:rPr>
                <w:sz w:val="22"/>
                <w:szCs w:val="22"/>
              </w:rPr>
              <w:t xml:space="preserve">- Website</w:t>
            </w:r>
            <w:r>
              <w:rPr>
                <w:sz w:val="22"/>
                <w:szCs w:val="22"/>
              </w:rPr>
              <w:t xml:space="preserve"> Sở GD&amp;ĐT Tây Ninh</w:t>
            </w:r>
            <w:r>
              <w:rPr>
                <w:sz w:val="22"/>
                <w:szCs w:val="22"/>
              </w:rPr>
              <w:t xml:space="preserve">;</w:t>
            </w:r>
            <w:r>
              <w:rPr>
                <w:sz w:val="22"/>
                <w:szCs w:val="22"/>
                <w:lang w:val="da-DK"/>
              </w:rPr>
            </w:r>
            <w:r>
              <w:rPr>
                <w:sz w:val="22"/>
                <w:szCs w:val="22"/>
                <w:lang w:val="da-DK"/>
              </w:rPr>
            </w:r>
          </w:p>
          <w:p>
            <w:pPr>
              <w:pBdr/>
              <w:spacing/>
              <w:ind/>
              <w:rPr>
                <w:sz w:val="22"/>
                <w:szCs w:val="22"/>
              </w:rPr>
            </w:pPr>
            <w:r>
              <w:rPr>
                <w:sz w:val="22"/>
                <w:szCs w:val="22"/>
              </w:rPr>
              <w:t xml:space="preserve">- </w:t>
            </w:r>
            <w:r>
              <w:rPr>
                <w:sz w:val="22"/>
                <w:lang w:val="vi"/>
              </w:rPr>
              <w:t xml:space="preserve">V</w:t>
            </w:r>
            <w:r>
              <w:rPr>
                <w:sz w:val="22"/>
              </w:rPr>
              <w:t xml:space="preserve">P</w:t>
            </w:r>
            <w:r>
              <w:rPr>
                <w:sz w:val="22"/>
                <w:lang w:val="vi"/>
              </w:rPr>
              <w:t xml:space="preserve">, P.</w:t>
            </w:r>
            <w:r>
              <w:rPr>
                <w:sz w:val="22"/>
              </w:rPr>
              <w:t xml:space="preserve">GDNN-GDTX </w:t>
            </w:r>
            <w:r>
              <w:rPr>
                <w:i/>
                <w:iCs/>
                <w:sz w:val="12"/>
                <w:szCs w:val="12"/>
              </w:rPr>
              <w:t xml:space="preserve">(Quang).</w:t>
            </w:r>
            <w:r>
              <w:rPr>
                <w:sz w:val="22"/>
                <w:szCs w:val="22"/>
              </w:rPr>
            </w:r>
            <w:r>
              <w:rPr>
                <w:sz w:val="22"/>
                <w:szCs w:val="22"/>
              </w:rPr>
            </w:r>
          </w:p>
        </w:tc>
        <w:tc>
          <w:tcPr>
            <w:tcBorders/>
            <w:tcW w:w="4514" w:type="dxa"/>
            <w:textDirection w:val="lrTb"/>
            <w:noWrap w:val="false"/>
          </w:tcPr>
          <w:p>
            <w:pPr>
              <w:pBdr/>
              <w:spacing/>
              <w:ind/>
              <w:jc w:val="center"/>
              <w:rPr>
                <w:b/>
                <w:sz w:val="28"/>
                <w:szCs w:val="28"/>
              </w:rPr>
            </w:pPr>
            <w:r>
              <w:rPr>
                <w:b/>
                <w:sz w:val="28"/>
                <w:szCs w:val="28"/>
              </w:rPr>
              <w:t xml:space="preserve">KT. GIÁM ĐỐC</w:t>
            </w:r>
            <w:r>
              <w:rPr>
                <w:b/>
                <w:sz w:val="28"/>
                <w:szCs w:val="28"/>
              </w:rPr>
            </w:r>
            <w:r>
              <w:rPr>
                <w:b/>
                <w:sz w:val="28"/>
                <w:szCs w:val="28"/>
              </w:rPr>
            </w:r>
          </w:p>
          <w:p>
            <w:pPr>
              <w:pBdr/>
              <w:spacing/>
              <w:ind/>
              <w:jc w:val="center"/>
              <w:rPr>
                <w:b/>
                <w:sz w:val="28"/>
                <w:szCs w:val="28"/>
              </w:rPr>
            </w:pPr>
            <w:r>
              <w:rPr>
                <w:b/>
                <w:sz w:val="28"/>
                <w:szCs w:val="28"/>
              </w:rPr>
              <w:t xml:space="preserve">PHÓ GIÁM ĐỐC</w:t>
            </w:r>
            <w:r>
              <w:rPr>
                <w:b/>
                <w:sz w:val="28"/>
                <w:szCs w:val="28"/>
              </w:rPr>
            </w:r>
            <w:r>
              <w:rPr>
                <w:b/>
                <w:sz w:val="28"/>
                <w:szCs w:val="28"/>
              </w:rPr>
            </w:r>
          </w:p>
          <w:p>
            <w:pPr>
              <w:pBdr/>
              <w:spacing/>
              <w:ind/>
              <w:jc w:val="center"/>
              <w:rPr>
                <w:b/>
                <w:sz w:val="28"/>
                <w:szCs w:val="28"/>
              </w:rPr>
            </w:pPr>
            <w:r>
              <w:rPr>
                <w:b/>
                <w:sz w:val="28"/>
                <w:szCs w:val="28"/>
              </w:rPr>
            </w:r>
            <w:r>
              <w:rPr>
                <w:b/>
                <w:sz w:val="28"/>
                <w:szCs w:val="28"/>
              </w:rPr>
            </w:r>
            <w:r>
              <w:rPr>
                <w:b/>
                <w:sz w:val="28"/>
                <w:szCs w:val="28"/>
              </w:rPr>
            </w:r>
          </w:p>
          <w:p>
            <w:pPr>
              <w:pBdr/>
              <w:spacing/>
              <w:ind/>
              <w:jc w:val="center"/>
              <w:rPr>
                <w:b/>
                <w:sz w:val="28"/>
                <w:szCs w:val="28"/>
              </w:rPr>
            </w:pPr>
            <w:r>
              <w:rPr>
                <w:b/>
                <w:sz w:val="28"/>
                <w:szCs w:val="28"/>
              </w:rPr>
            </w:r>
            <w:r>
              <w:rPr>
                <w:b/>
                <w:sz w:val="28"/>
                <w:szCs w:val="28"/>
              </w:rPr>
            </w:r>
            <w:r>
              <w:rPr>
                <w:b/>
                <w:sz w:val="28"/>
                <w:szCs w:val="28"/>
              </w:rPr>
            </w:r>
          </w:p>
          <w:p>
            <w:pPr>
              <w:pBdr/>
              <w:spacing/>
              <w:ind/>
              <w:jc w:val="center"/>
              <w:rPr>
                <w:b/>
                <w:sz w:val="28"/>
                <w:szCs w:val="28"/>
              </w:rPr>
            </w:pPr>
            <w:r>
              <w:rPr>
                <w:b/>
                <w:sz w:val="28"/>
                <w:szCs w:val="28"/>
              </w:rPr>
            </w:r>
            <w:r>
              <w:rPr>
                <w:b/>
                <w:sz w:val="28"/>
                <w:szCs w:val="28"/>
              </w:rPr>
            </w:r>
            <w:r>
              <w:rPr>
                <w:b/>
                <w:sz w:val="28"/>
                <w:szCs w:val="28"/>
              </w:rPr>
            </w:r>
          </w:p>
          <w:p>
            <w:pPr>
              <w:pBdr/>
              <w:spacing/>
              <w:ind/>
              <w:jc w:val="center"/>
              <w:rPr>
                <w:b/>
                <w:sz w:val="28"/>
                <w:szCs w:val="28"/>
              </w:rPr>
            </w:pPr>
            <w:r>
              <w:rPr>
                <w:b/>
                <w:sz w:val="28"/>
                <w:szCs w:val="28"/>
              </w:rPr>
            </w:r>
            <w:r>
              <w:rPr>
                <w:b/>
                <w:sz w:val="28"/>
                <w:szCs w:val="28"/>
              </w:rPr>
            </w:r>
            <w:r>
              <w:rPr>
                <w:b/>
                <w:sz w:val="28"/>
                <w:szCs w:val="28"/>
              </w:rPr>
            </w:r>
          </w:p>
          <w:p>
            <w:pPr>
              <w:pBdr/>
              <w:spacing/>
              <w:ind/>
              <w:jc w:val="center"/>
              <w:rPr>
                <w:b/>
                <w:sz w:val="28"/>
                <w:szCs w:val="28"/>
              </w:rPr>
            </w:pPr>
            <w:r>
              <w:rPr>
                <w:b/>
                <w:sz w:val="28"/>
                <w:szCs w:val="28"/>
              </w:rPr>
              <w:t xml:space="preserve">Huỳnh Phương Vũ</w:t>
            </w:r>
            <w:r>
              <w:rPr>
                <w:b/>
                <w:sz w:val="28"/>
                <w:szCs w:val="28"/>
              </w:rPr>
              <w:t xml:space="preserve"> </w:t>
            </w:r>
            <w:r>
              <w:rPr>
                <w:b/>
                <w:sz w:val="28"/>
                <w:szCs w:val="28"/>
              </w:rPr>
            </w:r>
            <w:r>
              <w:rPr>
                <w:b/>
                <w:sz w:val="28"/>
                <w:szCs w:val="28"/>
              </w:rPr>
            </w:r>
          </w:p>
        </w:tc>
      </w:tr>
    </w:tbl>
    <w:p>
      <w:pPr>
        <w:pBdr/>
        <w:spacing/>
        <w:ind/>
        <w:rPr>
          <w:b/>
          <w:sz w:val="28"/>
          <w:szCs w:val="28"/>
        </w:rPr>
      </w:pPr>
      <w:r>
        <w:rPr>
          <w:b/>
          <w:sz w:val="28"/>
          <w:szCs w:val="28"/>
        </w:rPr>
      </w:r>
      <w:r>
        <w:rPr>
          <w:b/>
          <w:sz w:val="28"/>
          <w:szCs w:val="28"/>
        </w:rPr>
      </w:r>
      <w:r>
        <w:rPr>
          <w:b/>
          <w:sz w:val="28"/>
          <w:szCs w:val="28"/>
        </w:rPr>
      </w:r>
    </w:p>
    <w:sectPr>
      <w:headerReference w:type="default" r:id="rId9"/>
      <w:footnotePr/>
      <w:endnotePr/>
      <w:type w:val="nextPage"/>
      <w:pgSz w:h="16840" w:orient="portrait" w:w="11907"/>
      <w:pgMar w:top="1134" w:right="1134" w:bottom="1134" w:left="1701"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Georgia">
    <w:panose1 w:val="02040502050405020303"/>
  </w:font>
  <w:font w:name=".VnTime">
    <w:panose1 w:val="05040102010807070707"/>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1267"/>
        <w:pBdr/>
        <w:spacing/>
        <w:ind w:right="0" w:firstLine="283" w:left="0"/>
        <w:jc w:val="both"/>
        <w:rPr/>
      </w:pPr>
      <w:r>
        <w:rPr>
          <w:rStyle w:val="1269"/>
        </w:rPr>
        <w:footnoteRef/>
      </w:r>
      <w:r>
        <w:t xml:space="preserve"> </w:t>
      </w:r>
      <w:r>
        <w:t xml:space="preserve">Kế hoạch số 1360/KH-UBND ngày 23/9/2025 của UBND tỉnh </w:t>
      </w:r>
      <w:r>
        <w:rPr>
          <w:color w:val="000000"/>
        </w:rPr>
        <w:t xml:space="preserve">thực hiện Phong trào “Tây Ninh thi đua xây dựng xã hội</w:t>
      </w:r>
      <w:r>
        <w:rPr>
          <w:color w:val="000000"/>
        </w:rPr>
        <w:t xml:space="preserve"> </w:t>
      </w:r>
      <w:r>
        <w:rPr>
          <w:color w:val="000000"/>
        </w:rPr>
        <w:t xml:space="preserve">học tập, đẩy mạnh học tập suốt đời” đến năm 2030</w:t>
      </w:r>
      <w:r>
        <w:t xml:space="preserve">.</w:t>
      </w:r>
      <w:r/>
    </w:p>
  </w:footnote>
  <w:footnote w:id="3">
    <w:p>
      <w:pPr>
        <w:pStyle w:val="1267"/>
        <w:pBdr/>
        <w:spacing/>
        <w:ind w:right="0" w:firstLine="283" w:left="0"/>
        <w:jc w:val="both"/>
        <w:rPr/>
      </w:pPr>
      <w:r>
        <w:rPr>
          <w:rStyle w:val="1269"/>
        </w:rPr>
        <w:footnoteRef/>
      </w:r>
      <w:r>
        <w:t xml:space="preserve"> V</w:t>
      </w:r>
      <w:r>
        <w:t xml:space="preserve">ăn bản số 299/KH-SGDĐT ngày 25/7/2025 của Sở GD&amp;ĐT </w:t>
      </w:r>
      <w:r>
        <w:t xml:space="preserve">về việc triển khai, thực hiện Phong trào thi đua “Cả nước thi đua đổi mới sáng tạo và chuyển đổi số” và Phong trào “Bình dân học vụ số” trên địa bàn tỉnh</w:t>
      </w:r>
      <w:r>
        <w:rPr>
          <w:color w:val="000000"/>
          <w:shd w:val="clear" w:color="auto" w:fill="ffffff"/>
        </w:rPr>
        <w:t xml:space="preserve">.</w:t>
      </w:r>
      <w:r/>
    </w:p>
  </w:footnote>
  <w:footnote w:id="4">
    <w:p>
      <w:pPr>
        <w:pStyle w:val="1267"/>
        <w:pBdr/>
        <w:spacing/>
        <w:ind w:right="0" w:firstLine="283" w:left="0"/>
        <w:jc w:val="both"/>
        <w:rPr/>
      </w:pPr>
      <w:r>
        <w:rPr>
          <w:rStyle w:val="1269"/>
        </w:rPr>
        <w:footnoteRef/>
      </w:r>
      <w:r>
        <w:t xml:space="preserve"> </w:t>
      </w:r>
      <w:r>
        <w:t xml:space="preserve">Quyết định số 329/QĐ-TTg ngày 15/3/2017 của Thủ tướng Chính phủ</w:t>
      </w:r>
      <w:r>
        <w:t xml:space="preserve"> </w:t>
      </w:r>
      <w:r>
        <w:t xml:space="preserve">Đề án phát triển văn hóa đọc trong cộng đồng đến năm 2020, định hướng đến năm 2030 đối với giáo dục và đào tạo</w:t>
      </w:r>
      <w:r>
        <w:t xml:space="preserve">; </w:t>
      </w:r>
      <w:r>
        <w:t xml:space="preserve">Quyết định số 1520/QĐ-TTg ngày 09/12/2022 của Thủ tướng Chính phủ về việc phê duyệt Chương trình “Đẩy mạnh các hoạt động phục vụ học tập suốt đời trong thư viện, bảo tàng, trung tâm văn hóa đến năm 2030</w:t>
      </w:r>
      <w:r>
        <w:t xml:space="preserve">.</w:t>
      </w:r>
      <w:r/>
    </w:p>
  </w:footnote>
  <w:footnote w:id="5">
    <w:p>
      <w:pPr>
        <w:pStyle w:val="1267"/>
        <w:pBdr/>
        <w:spacing/>
        <w:ind w:right="0" w:firstLine="283" w:left="0"/>
        <w:jc w:val="both"/>
        <w:rPr/>
      </w:pPr>
      <w:r>
        <w:rPr>
          <w:rStyle w:val="1269"/>
        </w:rPr>
        <w:footnoteRef/>
      </w:r>
      <w:r>
        <w:t xml:space="preserve"> Chương trình số 2244/CTr-SGDĐT-HKH ngày 17</w:t>
      </w:r>
      <w:r>
        <w:t xml:space="preserve">/6/2024 của Sở GD&amp;ĐT, Hội Khuyến học về Chương trình phối hợp giữa Sở Giáo dục và Đào tạo với Hội Khuyến học tỉnh về đẩy mạnh công tác khuyến học, khuyến tài, xây dựng xã hội học tập trên địa bàn tỉnh Long An giai đoạn 2024-2025 và định hướng dến năm 2030.</w:t>
      </w:r>
      <w:r/>
    </w:p>
  </w:footnote>
  <w:footnote w:id="6">
    <w:p>
      <w:pPr>
        <w:pStyle w:val="1267"/>
        <w:pBdr/>
        <w:spacing/>
        <w:ind/>
        <w:jc w:val="both"/>
        <w:rPr/>
      </w:pPr>
      <w:r>
        <w:t xml:space="preserve">       </w:t>
      </w:r>
      <w:r>
        <w:rPr>
          <w:rStyle w:val="1269"/>
        </w:rPr>
        <w:footnoteRef/>
      </w:r>
      <w:r>
        <w:t xml:space="preserve"> Kế hoạch số 134/KH-UBND ngày 10/6/2019 của UBND tỉnh </w:t>
      </w:r>
      <w:r>
        <w:t xml:space="preserve">Long An </w:t>
      </w:r>
      <w:r>
        <w:t xml:space="preserve">về thực hiện Quyết đị</w:t>
      </w:r>
      <w:r>
        <w:t xml:space="preserve">nh số 522/QĐ-TTg ngày 14/5/2018 của Thủ tướng Chính phủ trên địa bàn tỉnh Long An giai đoạn 2019-2025. Kế hoạch số 1713/KH-UBND ngày 02/6/2021 của UBND tỉnh về thực hiện Đề án “Hỗ trợ học sinh, sinh viên khởi nghiệp đến năm 2025” trên địa bàn tỉnh Long An.</w:t>
      </w:r>
      <w:r/>
    </w:p>
  </w:footnote>
  <w:footnote w:id="7">
    <w:p>
      <w:pPr>
        <w:pStyle w:val="1267"/>
        <w:pBdr/>
        <w:spacing/>
        <w:ind/>
        <w:jc w:val="both"/>
        <w:rPr/>
      </w:pPr>
      <w:r>
        <w:t xml:space="preserve">     </w:t>
      </w:r>
      <w:r>
        <w:rPr>
          <w:rStyle w:val="1269"/>
        </w:rPr>
        <w:footnoteRef/>
      </w:r>
      <w:r>
        <w:t xml:space="preserve"> Thông tư số 12/2022/TT-BGDĐT ngày 26/7/2022 của Bộ trưởng Bộ Giáo dục và Đào tạ</w:t>
      </w:r>
      <w:r>
        <w:t xml:space="preserve">o ban hành Chương trình Giáo dục thường xuyên cấp trung học phổ thông; Thông tư số 43/2021/TT-BGDĐT ngày 30/12/2021 của Bộ trưởng Bộ GD&amp;ĐT quy định về đánh giá học viên theo học Chương trình giáo dục thường xuyên cấp trung học cơ sở và cấp trung học phổ th</w:t>
      </w:r>
      <w:r>
        <w:t xml:space="preserve">ông</w:t>
      </w:r>
      <w:r>
        <w:t xml:space="preserve">; </w:t>
      </w:r>
      <w:r>
        <w:rPr>
          <w:rFonts w:eastAsia="Calibri"/>
          <w:lang w:val="pt-BR"/>
          <w14:ligatures w14:val="standardContextual"/>
        </w:rPr>
        <w:t xml:space="preserve">Công văn số 2857/BGDĐT- GDTX ngày 31/7/2020 của Bộ Giáo dục và Đào tạo về việc hướng dẫn tổ chức dạy Chương trình giáo dục thường xuyên cấp trung </w:t>
      </w:r>
      <w:r>
        <w:rPr>
          <w:rFonts w:eastAsia="Calibri"/>
          <w:lang w:val="pt-BR"/>
          <w14:ligatures w14:val="standardContextual"/>
        </w:rPr>
        <w:t xml:space="preserve">học phổ thông kết hợp với dạy nghề tại các cơ sở giáo dục thường xuyên; Công văn số 2570/BGDĐT- GDTX ngày 22/6/2021 của Bộ Giáo dục và Đào tạo về việc giảng dạy Chương trình giáo dục thường xuyên cấp trung học phổ thông trong các trường trung cấp, cao đẳng</w:t>
      </w:r>
      <w:r>
        <w:rPr>
          <w:rFonts w:eastAsia="Calibri"/>
          <w:lang w:val="pt-BR"/>
          <w14:ligatures w14:val="standardContextual"/>
        </w:rPr>
        <w:t xml:space="preserve">.</w:t>
      </w:r>
      <w:r/>
    </w:p>
  </w:footnote>
  <w:footnote w:id="8">
    <w:p>
      <w:pPr>
        <w:pBdr/>
        <w:spacing/>
        <w:ind/>
        <w:jc w:val="both"/>
        <w:rPr>
          <w:rFonts w:eastAsia="Calibri"/>
          <w:sz w:val="20"/>
          <w:szCs w:val="20"/>
        </w:rPr>
      </w:pPr>
      <w:r>
        <w:rPr>
          <w:rStyle w:val="1269"/>
          <w:sz w:val="20"/>
          <w:szCs w:val="20"/>
        </w:rPr>
        <w:footnoteRef/>
      </w:r>
      <w:r>
        <w:rPr>
          <w:sz w:val="20"/>
          <w:szCs w:val="20"/>
        </w:rPr>
        <w:t xml:space="preserve"> Thông tư số 21/2018/TT-BGDĐT ngày 24/8/2018 của Bộ Giáo dục và Đào tạo ban hành Quy chế tổ chức và hoạt động của trung tâm ngoại ngữ, tin học. </w:t>
      </w:r>
      <w:r>
        <w:rPr>
          <w:rFonts w:eastAsia="Calibri"/>
          <w:sz w:val="20"/>
          <w:szCs w:val="20"/>
          <w:lang w:val="hr-HR"/>
        </w:rPr>
        <w:t xml:space="preserve">- Nghị định số 142/2025/NĐ-CP ngày 12/6/2025 của Thủ tướng Chính phủ Quy định về phân định thẩm quyền của chính quyền địa phương hai cấp trong lĩnh vực quản lý nhà nước của Bộ Giáo dục và Đào tạo</w:t>
      </w:r>
      <w:r>
        <w:rPr>
          <w:sz w:val="20"/>
          <w:szCs w:val="20"/>
        </w:rPr>
        <w:t xml:space="preserve">; </w:t>
      </w:r>
      <w:r>
        <w:rPr>
          <w:rFonts w:eastAsia="Calibri"/>
          <w:sz w:val="20"/>
          <w:szCs w:val="20"/>
          <w:lang w:val="hr-HR"/>
        </w:rPr>
        <w:t xml:space="preserve">Nghị định số 125/2024/NĐ-CP ngày 05/10/2024 của Thủ tướng Chính phủ Quy định về điều kiện đầu tư và hoạt động trong lĩnh vực giáo dục</w:t>
      </w:r>
      <w:r>
        <w:rPr>
          <w:sz w:val="20"/>
          <w:szCs w:val="20"/>
        </w:rPr>
        <w:t xml:space="preserve">; </w:t>
      </w:r>
      <w:r>
        <w:rPr>
          <w:sz w:val="20"/>
          <w:szCs w:val="20"/>
        </w:rPr>
        <w:t xml:space="preserve">Thông tư số </w:t>
      </w:r>
      <w:r>
        <w:rPr>
          <w:rFonts w:eastAsia="Calibri"/>
          <w:sz w:val="20"/>
          <w:szCs w:val="20"/>
        </w:rPr>
        <w:t xml:space="preserve">21/2018/TT-BGDĐT ngày </w:t>
      </w:r>
      <w:r>
        <w:rPr>
          <w:rFonts w:eastAsia="Calibri"/>
          <w:sz w:val="20"/>
          <w:szCs w:val="20"/>
          <w:lang w:val="vi-VN"/>
        </w:rPr>
        <w:t xml:space="preserve">ngày </w:t>
      </w:r>
      <w:r>
        <w:rPr>
          <w:rFonts w:eastAsia="Calibri"/>
          <w:sz w:val="20"/>
          <w:szCs w:val="20"/>
        </w:rPr>
        <w:t xml:space="preserve">24</w:t>
      </w:r>
      <w:r>
        <w:rPr>
          <w:rFonts w:eastAsia="Calibri"/>
          <w:sz w:val="20"/>
          <w:szCs w:val="20"/>
          <w:lang w:val="vi-VN"/>
        </w:rPr>
        <w:t xml:space="preserve"> tháng </w:t>
      </w:r>
      <w:r>
        <w:rPr>
          <w:rFonts w:eastAsia="Calibri"/>
          <w:sz w:val="20"/>
          <w:szCs w:val="20"/>
        </w:rPr>
        <w:t xml:space="preserve">8</w:t>
      </w:r>
      <w:r>
        <w:rPr>
          <w:rFonts w:eastAsia="Calibri"/>
          <w:sz w:val="20"/>
          <w:szCs w:val="20"/>
          <w:lang w:val="vi-VN"/>
        </w:rPr>
        <w:t xml:space="preserve"> năm 201</w:t>
      </w:r>
      <w:r>
        <w:rPr>
          <w:rFonts w:eastAsia="Calibri"/>
          <w:sz w:val="20"/>
          <w:szCs w:val="20"/>
        </w:rPr>
        <w:t xml:space="preserve">8 </w:t>
      </w:r>
      <w:bookmarkStart w:id="0" w:name="loai_1_name"/>
      <w:r>
        <w:rPr>
          <w:rFonts w:eastAsia="Calibri"/>
          <w:sz w:val="20"/>
          <w:szCs w:val="20"/>
          <w:lang w:val="vi-VN"/>
        </w:rPr>
        <w:t xml:space="preserve">ban hành quy chế tổ chức và hoạt động của trung tâm ngoại ngữ, tin học</w:t>
      </w:r>
      <w:bookmarkEnd w:id="0"/>
      <w:r>
        <w:rPr>
          <w:rFonts w:eastAsia="Calibri"/>
          <w:sz w:val="20"/>
          <w:szCs w:val="20"/>
        </w:rPr>
        <w:t xml:space="preserve">; </w:t>
      </w:r>
      <w:r>
        <w:rPr>
          <w:sz w:val="20"/>
          <w:szCs w:val="20"/>
        </w:rPr>
        <w:t xml:space="preserve">Nghị định số 86/2021/NĐ-CP ngày 25/9/2021 của Chính phủ quy định việc công dân Việt Nam ra nước ngoài học tập, giảng dạy, nghiên cứu khoa học và trao đổi học thuật</w:t>
      </w:r>
      <w:r>
        <w:rPr>
          <w:sz w:val="20"/>
          <w:szCs w:val="20"/>
        </w:rPr>
        <w:t xml:space="preserve">.</w:t>
      </w:r>
      <w:r>
        <w:rPr>
          <w:rFonts w:eastAsia="Calibri"/>
          <w:sz w:val="20"/>
          <w:szCs w:val="20"/>
        </w:rPr>
      </w:r>
      <w:r>
        <w:rPr>
          <w:rFonts w:eastAsia="Calibri"/>
          <w:sz w:val="20"/>
          <w:szCs w:val="20"/>
        </w:rPr>
      </w:r>
    </w:p>
  </w:footnote>
  <w:footnote w:id="9">
    <w:p>
      <w:pPr>
        <w:pStyle w:val="1267"/>
        <w:pBdr/>
        <w:spacing/>
        <w:ind/>
        <w:jc w:val="both"/>
        <w:rPr/>
      </w:pPr>
      <w:r>
        <w:rPr>
          <w:rStyle w:val="1269"/>
        </w:rPr>
        <w:footnoteRef/>
      </w:r>
      <w:r>
        <w:t xml:space="preserve"> Thông tư số 11/2022/TT-BGDĐT ngày 26/7/2022 của Bộ trưởng Bộ GD&amp;ĐT về việc Quy định về liên kết tổ chức thi cấp chứng chỉ năng lực ngoại ngữ của nước ngoài.</w:t>
      </w:r>
      <w:r/>
    </w:p>
  </w:footnote>
  <w:footnote w:id="10">
    <w:p>
      <w:pPr>
        <w:pStyle w:val="1267"/>
        <w:pBdr/>
        <w:spacing/>
        <w:ind/>
        <w:jc w:val="both"/>
        <w:rPr/>
      </w:pPr>
      <w:r>
        <w:rPr>
          <w:rStyle w:val="1269"/>
        </w:rPr>
        <w:footnoteRef/>
      </w:r>
      <w:r>
        <w:t xml:space="preserve"> </w:t>
      </w:r>
      <w:r>
        <w:rPr>
          <w:color w:val="000000"/>
        </w:rPr>
        <w:t xml:space="preserve">Quyết định số 2836/QĐ-UBND ngày 20/8/2025 của UBND tỉnh</w:t>
      </w:r>
      <w:r>
        <w:rPr>
          <w:color w:val="000000"/>
        </w:rPr>
        <w:t xml:space="preserve"> </w:t>
      </w:r>
      <w:r>
        <w:rPr>
          <w:color w:val="000000"/>
        </w:rPr>
        <w:t xml:space="preserve">về việc ban hành kế hoạch thời gian năm học 2025-2026 đối với giáo dục mầm non,</w:t>
      </w:r>
      <w:r>
        <w:rPr>
          <w:color w:val="000000"/>
        </w:rPr>
        <w:t xml:space="preserve"> </w:t>
      </w:r>
      <w:r>
        <w:rPr>
          <w:color w:val="000000"/>
        </w:rPr>
        <w:t xml:space="preserve">giáo dục phổ thông và giáo dục thường xuyên trên địa bàn tỉnh Tây Ninh</w:t>
      </w:r>
      <w:r>
        <w:rPr>
          <w:spacing w:val="-4"/>
        </w:rP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534162636"/>
      <w:docPartObj>
        <w:docPartGallery w:val="Page Numbers (Top of Page)"/>
        <w:docPartUnique w:val="true"/>
      </w:docPartObj>
      <w:rPr/>
    </w:sdtPr>
    <w:sdtContent>
      <w:p>
        <w:pPr>
          <w:pStyle w:val="1263"/>
          <w:pBdr/>
          <w:spacing/>
          <w:ind/>
          <w:jc w:val="center"/>
          <w:rPr/>
        </w:pPr>
        <w:r>
          <w:fldChar w:fldCharType="begin"/>
        </w:r>
        <w:r>
          <w:instrText xml:space="preserve"> PAGE   \* MERGEFORMAT </w:instrText>
        </w:r>
        <w:r>
          <w:fldChar w:fldCharType="separate"/>
        </w:r>
        <w:r>
          <w:t xml:space="preserve">10</w:t>
        </w:r>
        <w:r>
          <w:fldChar w:fldCharType="end"/>
        </w:r>
        <w:r/>
      </w:p>
    </w:sdtContent>
  </w:sdt>
  <w:p>
    <w:pPr>
      <w:pStyle w:val="126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rFonts w:ascii="Georgia" w:hAnsi="Georgia" w:eastAsia="Georgia" w:cs="Georgia"/>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1">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2">
    <w:lvl w:ilvl="0">
      <w:isLgl w:val="false"/>
      <w:lvlJc w:val="left"/>
      <w:lvlText w:val="%1)"/>
      <w:numFmt w:val="lowerLetter"/>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3">
    <w:lvl w:ilvl="0">
      <w:isLgl w:val="false"/>
      <w:lvlJc w:val="left"/>
      <w:lvlText w:val="-"/>
      <w:numFmt w:val="bullet"/>
      <w:pPr>
        <w:pBdr/>
        <w:spacing/>
        <w:ind w:left="3764"/>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1">
      <w:isLgl w:val="false"/>
      <w:lvlJc w:val="left"/>
      <w:lvlText w:val="o"/>
      <w:numFmt w:val="bullet"/>
      <w:pPr>
        <w:pBdr/>
        <w:spacing/>
        <w:ind w:left="4681"/>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2">
      <w:isLgl w:val="false"/>
      <w:lvlJc w:val="left"/>
      <w:lvlText w:val="▪"/>
      <w:numFmt w:val="bullet"/>
      <w:pPr>
        <w:pBdr/>
        <w:spacing/>
        <w:ind w:left="5401"/>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3">
      <w:isLgl w:val="false"/>
      <w:lvlJc w:val="left"/>
      <w:lvlText w:val="•"/>
      <w:numFmt w:val="bullet"/>
      <w:pPr>
        <w:pBdr/>
        <w:spacing/>
        <w:ind w:left="6121"/>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4">
      <w:isLgl w:val="false"/>
      <w:lvlJc w:val="left"/>
      <w:lvlText w:val="o"/>
      <w:numFmt w:val="bullet"/>
      <w:pPr>
        <w:pBdr/>
        <w:spacing/>
        <w:ind w:left="6841"/>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5">
      <w:isLgl w:val="false"/>
      <w:lvlJc w:val="left"/>
      <w:lvlText w:val="▪"/>
      <w:numFmt w:val="bullet"/>
      <w:pPr>
        <w:pBdr/>
        <w:spacing/>
        <w:ind w:left="7561"/>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6">
      <w:isLgl w:val="false"/>
      <w:lvlJc w:val="left"/>
      <w:lvlText w:val="•"/>
      <w:numFmt w:val="bullet"/>
      <w:pPr>
        <w:pBdr/>
        <w:spacing/>
        <w:ind w:left="8281"/>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7">
      <w:isLgl w:val="false"/>
      <w:lvlJc w:val="left"/>
      <w:lvlText w:val="o"/>
      <w:numFmt w:val="bullet"/>
      <w:pPr>
        <w:pBdr/>
        <w:spacing/>
        <w:ind w:left="9001"/>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8">
      <w:isLgl w:val="false"/>
      <w:lvlJc w:val="left"/>
      <w:lvlText w:val="▪"/>
      <w:numFmt w:val="bullet"/>
      <w:pPr>
        <w:pBdr/>
        <w:spacing/>
        <w:ind w:left="9721"/>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abstractNum>
  <w:abstractNum w:abstractNumId="4">
    <w:lvl w:ilvl="0">
      <w:isLgl w:val="false"/>
      <w:lvlJc w:val="left"/>
      <w:lvlText w:val="%1)"/>
      <w:numFmt w:val="lowerLetter"/>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5">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6">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7">
    <w:lvl w:ilvl="0">
      <w:isLgl w:val="false"/>
      <w:lvlJc w:val="left"/>
      <w:lvlText w:val="%1."/>
      <w:numFmt w:val="upperRoman"/>
      <w:pPr>
        <w:pBdr/>
        <w:spacing/>
        <w:ind/>
      </w:pPr>
      <w:rPr>
        <w:rFonts w:ascii="Times New Roman" w:hAnsi="Times New Roman" w:eastAsia="Times New Roman" w:cs="Times New Roman"/>
        <w:b/>
        <w:bCs/>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8">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9">
    <w:lvl w:ilvl="0">
      <w:isLgl w:val="false"/>
      <w:lvlJc w:val="left"/>
      <w:lvlText w:val="%1."/>
      <w:numFmt w:val="decimal"/>
      <w:pPr>
        <w:pBdr/>
        <w:tabs>
          <w:tab w:val="left" w:leader="none" w:pos="720"/>
        </w:tabs>
        <w:spacing/>
        <w:ind w:hanging="360" w:left="720"/>
      </w:pPr>
      <w:rPr>
        <w:rFonts w:hint="default"/>
      </w:rPr>
      <w:start w:val="1"/>
      <w:suff w:val="tab"/>
    </w:lvl>
    <w:lvl w:ilvl="1">
      <w:isLgl w:val="false"/>
      <w:lvlJc w:val="left"/>
      <w:lvlText w:val="%2."/>
      <w:numFmt w:val="lowerLetter"/>
      <w:pPr>
        <w:pBdr/>
        <w:tabs>
          <w:tab w:val="left" w:leader="none" w:pos="1440"/>
        </w:tabs>
        <w:spacing/>
        <w:ind w:hanging="360" w:left="1440"/>
      </w:pPr>
      <w:rPr/>
      <w:start w:val="1"/>
      <w:suff w:val="tab"/>
    </w:lvl>
    <w:lvl w:ilvl="2">
      <w:isLgl w:val="false"/>
      <w:lvlJc w:val="right"/>
      <w:lvlText w:val="%3."/>
      <w:numFmt w:val="lowerRoman"/>
      <w:pPr>
        <w:pBdr/>
        <w:tabs>
          <w:tab w:val="left" w:leader="none" w:pos="2160"/>
        </w:tabs>
        <w:spacing/>
        <w:ind w:hanging="180" w:left="2160"/>
      </w:pPr>
      <w:rPr/>
      <w:start w:val="1"/>
      <w:suff w:val="tab"/>
    </w:lvl>
    <w:lvl w:ilvl="3">
      <w:isLgl w:val="false"/>
      <w:lvlJc w:val="left"/>
      <w:lvlText w:val="%4."/>
      <w:numFmt w:val="decimal"/>
      <w:pPr>
        <w:pBdr/>
        <w:tabs>
          <w:tab w:val="left" w:leader="none" w:pos="2880"/>
        </w:tabs>
        <w:spacing/>
        <w:ind w:hanging="360" w:left="2880"/>
      </w:pPr>
      <w:rPr/>
      <w:start w:val="1"/>
      <w:suff w:val="tab"/>
    </w:lvl>
    <w:lvl w:ilvl="4">
      <w:isLgl w:val="false"/>
      <w:lvlJc w:val="left"/>
      <w:lvlText w:val="%5."/>
      <w:numFmt w:val="lowerLetter"/>
      <w:pPr>
        <w:pBdr/>
        <w:tabs>
          <w:tab w:val="left" w:leader="none" w:pos="3600"/>
        </w:tabs>
        <w:spacing/>
        <w:ind w:hanging="360" w:left="3600"/>
      </w:pPr>
      <w:rPr/>
      <w:start w:val="1"/>
      <w:suff w:val="tab"/>
    </w:lvl>
    <w:lvl w:ilvl="5">
      <w:isLgl w:val="false"/>
      <w:lvlJc w:val="right"/>
      <w:lvlText w:val="%6."/>
      <w:numFmt w:val="lowerRoman"/>
      <w:pPr>
        <w:pBdr/>
        <w:tabs>
          <w:tab w:val="left" w:leader="none" w:pos="4320"/>
        </w:tabs>
        <w:spacing/>
        <w:ind w:hanging="180" w:left="4320"/>
      </w:pPr>
      <w:rPr/>
      <w:start w:val="1"/>
      <w:suff w:val="tab"/>
    </w:lvl>
    <w:lvl w:ilvl="6">
      <w:isLgl w:val="false"/>
      <w:lvlJc w:val="left"/>
      <w:lvlText w:val="%7."/>
      <w:numFmt w:val="decimal"/>
      <w:pPr>
        <w:pBdr/>
        <w:tabs>
          <w:tab w:val="left" w:leader="none" w:pos="5040"/>
        </w:tabs>
        <w:spacing/>
        <w:ind w:hanging="360" w:left="5040"/>
      </w:pPr>
      <w:rPr/>
      <w:start w:val="1"/>
      <w:suff w:val="tab"/>
    </w:lvl>
    <w:lvl w:ilvl="7">
      <w:isLgl w:val="false"/>
      <w:lvlJc w:val="left"/>
      <w:lvlText w:val="%8."/>
      <w:numFmt w:val="lowerLetter"/>
      <w:pPr>
        <w:pBdr/>
        <w:tabs>
          <w:tab w:val="left" w:leader="none" w:pos="5760"/>
        </w:tabs>
        <w:spacing/>
        <w:ind w:hanging="360" w:left="5760"/>
      </w:pPr>
      <w:rPr/>
      <w:start w:val="1"/>
      <w:suff w:val="tab"/>
    </w:lvl>
    <w:lvl w:ilvl="8">
      <w:isLgl w:val="false"/>
      <w:lvlJc w:val="right"/>
      <w:lvlText w:val="%9."/>
      <w:numFmt w:val="lowerRoman"/>
      <w:pPr>
        <w:pBdr/>
        <w:tabs>
          <w:tab w:val="left" w:leader="none" w:pos="6480"/>
        </w:tabs>
        <w:spacing/>
        <w:ind w:hanging="180" w:left="6480"/>
      </w:pPr>
      <w:rPr/>
      <w:start w:val="1"/>
      <w:suff w:val="tab"/>
    </w:lvl>
  </w:abstractNum>
  <w:abstractNum w:abstractNumId="10">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11">
    <w:lvl w:ilvl="0">
      <w:isLgl w:val="false"/>
      <w:lvlJc w:val="left"/>
      <w:lvlText w:val="%1."/>
      <w:numFmt w:val="decimal"/>
      <w:pPr>
        <w:pBdr/>
        <w:spacing/>
        <w:ind/>
      </w:pPr>
      <w:rPr>
        <w:rFonts w:ascii="Georgia" w:hAnsi="Georgia" w:eastAsia="Georgia" w:cs="Georgia"/>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12">
    <w:lvl w:ilvl="0">
      <w:isLgl w:val="false"/>
      <w:lvlJc w:val="left"/>
      <w:lvlText w:val="%1."/>
      <w:numFmt w:val="decimal"/>
      <w:pPr>
        <w:pBdr/>
        <w:spacing/>
        <w:ind/>
      </w:pPr>
      <w:rPr>
        <w:rFonts w:ascii="Georgia" w:hAnsi="Georgia" w:eastAsia="Georgia" w:cs="Georgia"/>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13">
    <w:lvl w:ilvl="0">
      <w:isLgl w:val="false"/>
      <w:lvlJc w:val="left"/>
      <w:lvlText w:val="%1)"/>
      <w:numFmt w:val="lowerLetter"/>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14">
    <w:lvl w:ilvl="0">
      <w:isLgl w:val="false"/>
      <w:lvlJc w:val="left"/>
      <w:lvlText w:val="%1."/>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abstractNum w:abstractNumId="15">
    <w:lvl w:ilvl="0">
      <w:isLgl w:val="false"/>
      <w:lvlJc w:val="left"/>
      <w:lvlText w:val="%1)"/>
      <w:numFmt w:val="lowerLetter"/>
      <w:pPr>
        <w:pBdr/>
        <w:spacing/>
        <w:ind/>
      </w:pPr>
      <w:rPr>
        <w:rFonts w:ascii="Times New Roman" w:hAnsi="Times New Roman" w:eastAsia="Times New Roman" w:cs="Times New Roman"/>
        <w:b w:val="0"/>
        <w:bCs w:val="0"/>
        <w:i w:val="0"/>
        <w:iCs w:val="0"/>
        <w:smallCaps w:val="0"/>
        <w:strike w:val="0"/>
        <w:color w:val="000000"/>
        <w:spacing w:val="0"/>
        <w:position w:val="0"/>
        <w:sz w:val="26"/>
        <w:szCs w:val="26"/>
        <w:u w:val="none"/>
        <w:lang w:val="vi-VN" w:eastAsia="vi-VN" w:bidi="vi-VN"/>
      </w:rPr>
      <w:start w:val="1"/>
      <w:suff w:val="tab"/>
    </w:lvl>
    <w:lvl w:ilvl="1">
      <w:isLgl w:val="false"/>
      <w:lvlJc w:val="left"/>
      <w:lvlText/>
      <w:numFmt w:val="decimal"/>
      <w:pPr>
        <w:pBdr/>
        <w:spacing/>
        <w:ind/>
      </w:pPr>
      <w:rPr/>
      <w:start w:val="1"/>
      <w:suff w:val="tab"/>
    </w:lvl>
    <w:lvl w:ilvl="2">
      <w:isLgl w:val="false"/>
      <w:lvlJc w:val="left"/>
      <w:lvlText/>
      <w:numFmt w:val="decimal"/>
      <w:pPr>
        <w:pBdr/>
        <w:spacing/>
        <w:ind/>
      </w:pPr>
      <w:rPr/>
      <w:start w:val="1"/>
      <w:suff w:val="tab"/>
    </w:lvl>
    <w:lvl w:ilvl="3">
      <w:isLgl w:val="false"/>
      <w:lvlJc w:val="left"/>
      <w:lvlText/>
      <w:numFmt w:val="decimal"/>
      <w:pPr>
        <w:pBdr/>
        <w:spacing/>
        <w:ind/>
      </w:pPr>
      <w:rPr/>
      <w:start w:val="1"/>
      <w:suff w:val="tab"/>
    </w:lvl>
    <w:lvl w:ilvl="4">
      <w:isLgl w:val="false"/>
      <w:lvlJc w:val="left"/>
      <w:lvlText/>
      <w:numFmt w:val="decimal"/>
      <w:pPr>
        <w:pBdr/>
        <w:spacing/>
        <w:ind/>
      </w:pPr>
      <w:rPr/>
      <w:start w:val="1"/>
      <w:suff w:val="tab"/>
    </w:lvl>
    <w:lvl w:ilvl="5">
      <w:isLgl w:val="false"/>
      <w:lvlJc w:val="left"/>
      <w:lvlText/>
      <w:numFmt w:val="decimal"/>
      <w:pPr>
        <w:pBdr/>
        <w:spacing/>
        <w:ind/>
      </w:pPr>
      <w:rPr/>
      <w:start w:val="1"/>
      <w:suff w:val="tab"/>
    </w:lvl>
    <w:lvl w:ilvl="6">
      <w:isLgl w:val="false"/>
      <w:lvlJc w:val="left"/>
      <w:lvlText/>
      <w:numFmt w:val="decimal"/>
      <w:pPr>
        <w:pBdr/>
        <w:spacing/>
        <w:ind/>
      </w:pPr>
      <w:rPr/>
      <w:start w:val="1"/>
      <w:suff w:val="tab"/>
    </w:lvl>
    <w:lvl w:ilvl="7">
      <w:isLgl w:val="false"/>
      <w:lvlJc w:val="left"/>
      <w:lvlText/>
      <w:numFmt w:val="decimal"/>
      <w:pPr>
        <w:pBdr/>
        <w:spacing/>
        <w:ind/>
      </w:pPr>
      <w:rPr/>
      <w:start w:val="1"/>
      <w:suff w:val="tab"/>
    </w:lvl>
    <w:lvl w:ilvl="8">
      <w:isLgl w:val="false"/>
      <w:lvlJc w:val="left"/>
      <w:lvlText/>
      <w:numFmt w:val="decimal"/>
      <w:pPr>
        <w:pBdr/>
        <w:spacing/>
        <w:ind/>
      </w:pPr>
      <w:rPr/>
      <w:start w:val="1"/>
      <w:suff w:val="tab"/>
    </w:lvl>
  </w:abstractNum>
  <w:num w:numId="1">
    <w:abstractNumId w:val="9"/>
  </w:num>
  <w:num w:numId="2">
    <w:abstractNumId w:val="6"/>
  </w:num>
  <w:num w:numId="3">
    <w:abstractNumId w:val="11"/>
  </w:num>
  <w:num w:numId="4">
    <w:abstractNumId w:val="7"/>
  </w:num>
  <w:num w:numId="5">
    <w:abstractNumId w:val="10"/>
  </w:num>
  <w:num w:numId="6">
    <w:abstractNumId w:val="2"/>
  </w:num>
  <w:num w:numId="7">
    <w:abstractNumId w:val="4"/>
  </w:num>
  <w:num w:numId="8">
    <w:abstractNumId w:val="15"/>
  </w:num>
  <w:num w:numId="9">
    <w:abstractNumId w:val="0"/>
  </w:num>
  <w:num w:numId="10">
    <w:abstractNumId w:val="13"/>
  </w:num>
  <w:num w:numId="11">
    <w:abstractNumId w:val="8"/>
  </w:num>
  <w:num w:numId="12">
    <w:abstractNumId w:val="1"/>
  </w:num>
  <w:num w:numId="13">
    <w:abstractNumId w:val="5"/>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94">
    <w:name w:val="Table Grid Light"/>
    <w:basedOn w:val="100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1 Light - Accent 1"/>
    <w:basedOn w:val="100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1 Light - Accent 2"/>
    <w:basedOn w:val="100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1 Light - Accent 3"/>
    <w:basedOn w:val="100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1 Light - Accent 4"/>
    <w:basedOn w:val="100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1 Light - Accent 5"/>
    <w:basedOn w:val="100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1 Light - Accent 6"/>
    <w:basedOn w:val="100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2 - Accent 1"/>
    <w:basedOn w:val="100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2 - Accent 2"/>
    <w:basedOn w:val="100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2 - Accent 3"/>
    <w:basedOn w:val="100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2 - Accent 4"/>
    <w:basedOn w:val="100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2 - Accent 5"/>
    <w:basedOn w:val="100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2 - Accent 6"/>
    <w:basedOn w:val="100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3 - Accent 1"/>
    <w:basedOn w:val="100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3 - Accent 2"/>
    <w:basedOn w:val="100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3 - Accent 3"/>
    <w:basedOn w:val="100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3 - Accent 4"/>
    <w:basedOn w:val="100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3 - Accent 5"/>
    <w:basedOn w:val="100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3 - Accent 6"/>
    <w:basedOn w:val="100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4 - Accent 1"/>
    <w:basedOn w:val="100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4 - Accent 2"/>
    <w:basedOn w:val="100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Grid Table 4 - Accent 3"/>
    <w:basedOn w:val="100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Grid Table 4 - Accent 4"/>
    <w:basedOn w:val="100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4 - Accent 5"/>
    <w:basedOn w:val="100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4 - Accent 6"/>
    <w:basedOn w:val="100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5 Dark - Accent 2"/>
    <w:basedOn w:val="10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5 Dark - Accent 3"/>
    <w:basedOn w:val="10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5 Dark - Accent 5"/>
    <w:basedOn w:val="10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5 Dark - Accent 6"/>
    <w:basedOn w:val="10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6 Colorful - Accent 1"/>
    <w:basedOn w:val="100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4">
    <w:name w:val="Grid Table 6 Colorful - Accent 2"/>
    <w:basedOn w:val="100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25">
    <w:name w:val="Grid Table 6 Colorful - Accent 3"/>
    <w:basedOn w:val="100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26">
    <w:name w:val="Grid Table 6 Colorful - Accent 4"/>
    <w:basedOn w:val="100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27">
    <w:name w:val="Grid Table 6 Colorful - Accent 5"/>
    <w:basedOn w:val="100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28">
    <w:name w:val="Grid Table 6 Colorful - Accent 6"/>
    <w:basedOn w:val="100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29">
    <w:name w:val="Grid Table 7 Colorful - Accent 1"/>
    <w:basedOn w:val="100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Grid Table 7 Colorful - Accent 2"/>
    <w:basedOn w:val="100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Grid Table 7 Colorful - Accent 3"/>
    <w:basedOn w:val="100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Grid Table 7 Colorful - Accent 4"/>
    <w:basedOn w:val="100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Grid Table 7 Colorful - Accent 5"/>
    <w:basedOn w:val="100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Grid Table 7 Colorful - Accent 6"/>
    <w:basedOn w:val="100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1 Light - Accent 1"/>
    <w:basedOn w:val="10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1 Light - Accent 2"/>
    <w:basedOn w:val="10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1 Light - Accent 3"/>
    <w:basedOn w:val="10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1 Light - Accent 4"/>
    <w:basedOn w:val="10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1 Light - Accent 5"/>
    <w:basedOn w:val="10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1 Light - Accent 6"/>
    <w:basedOn w:val="10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2 - Accent 1"/>
    <w:basedOn w:val="100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2 - Accent 2"/>
    <w:basedOn w:val="100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2 - Accent 3"/>
    <w:basedOn w:val="100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2 - Accent 4"/>
    <w:basedOn w:val="100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2 - Accent 5"/>
    <w:basedOn w:val="100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2 - Accent 6"/>
    <w:basedOn w:val="100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3 - Accent 1"/>
    <w:basedOn w:val="100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3 - Accent 2"/>
    <w:basedOn w:val="100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3 - Accent 3"/>
    <w:basedOn w:val="100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3 - Accent 4"/>
    <w:basedOn w:val="100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3 - Accent 5"/>
    <w:basedOn w:val="100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3 - Accent 6"/>
    <w:basedOn w:val="100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4 - Accent 1"/>
    <w:basedOn w:val="100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4 - Accent 2"/>
    <w:basedOn w:val="100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4 - Accent 3"/>
    <w:basedOn w:val="100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st Table 4 - Accent 4"/>
    <w:basedOn w:val="100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st Table 4 - Accent 5"/>
    <w:basedOn w:val="100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List Table 4 - Accent 6"/>
    <w:basedOn w:val="100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st Table 5 Dark - Accent 1"/>
    <w:basedOn w:val="100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0">
    <w:name w:val="List Table 5 Dark - Accent 2"/>
    <w:basedOn w:val="100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1">
    <w:name w:val="List Table 5 Dark - Accent 3"/>
    <w:basedOn w:val="100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2">
    <w:name w:val="List Table 5 Dark - Accent 4"/>
    <w:basedOn w:val="100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3">
    <w:name w:val="List Table 5 Dark - Accent 5"/>
    <w:basedOn w:val="100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4">
    <w:name w:val="List Table 5 Dark - Accent 6"/>
    <w:basedOn w:val="100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5">
    <w:name w:val="List Table 6 Colorful - Accent 1"/>
    <w:basedOn w:val="100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 Accent 2"/>
    <w:basedOn w:val="100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6 Colorful - Accent 3"/>
    <w:basedOn w:val="100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6 Colorful - Accent 4"/>
    <w:basedOn w:val="100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st Table 6 Colorful - Accent 5"/>
    <w:basedOn w:val="100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List Table 6 Colorful - Accent 6"/>
    <w:basedOn w:val="100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List Table 7 Colorful - Accent 1"/>
    <w:basedOn w:val="100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72">
    <w:name w:val="List Table 7 Colorful - Accent 2"/>
    <w:basedOn w:val="100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73">
    <w:name w:val="List Table 7 Colorful - Accent 3"/>
    <w:basedOn w:val="100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74">
    <w:name w:val="List Table 7 Colorful - Accent 4"/>
    <w:basedOn w:val="100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75">
    <w:name w:val="List Table 7 Colorful - Accent 5"/>
    <w:basedOn w:val="100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76">
    <w:name w:val="List Table 7 Colorful - Accent 6"/>
    <w:basedOn w:val="100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character" w:styleId="977">
    <w:name w:val="Intense Emphasis"/>
    <w:basedOn w:val="1000"/>
    <w:uiPriority w:val="21"/>
    <w:qFormat/>
    <w:pPr>
      <w:pBdr/>
      <w:spacing/>
      <w:ind/>
    </w:pPr>
    <w:rPr>
      <w:i/>
      <w:iCs/>
      <w:color w:val="0f4761" w:themeColor="accent1" w:themeShade="BF"/>
    </w:rPr>
  </w:style>
  <w:style w:type="character" w:styleId="978">
    <w:name w:val="Intense Reference"/>
    <w:basedOn w:val="1000"/>
    <w:uiPriority w:val="32"/>
    <w:qFormat/>
    <w:pPr>
      <w:pBdr/>
      <w:spacing/>
      <w:ind/>
    </w:pPr>
    <w:rPr>
      <w:b/>
      <w:bCs/>
      <w:smallCaps/>
      <w:color w:val="0f4761" w:themeColor="accent1" w:themeShade="BF"/>
      <w:spacing w:val="5"/>
    </w:rPr>
  </w:style>
  <w:style w:type="character" w:styleId="979">
    <w:name w:val="Subtle Emphasis"/>
    <w:basedOn w:val="1000"/>
    <w:uiPriority w:val="19"/>
    <w:qFormat/>
    <w:pPr>
      <w:pBdr/>
      <w:spacing/>
      <w:ind/>
    </w:pPr>
    <w:rPr>
      <w:i/>
      <w:iCs/>
      <w:color w:val="404040" w:themeColor="text1" w:themeTint="BF"/>
    </w:rPr>
  </w:style>
  <w:style w:type="character" w:styleId="980">
    <w:name w:val="Emphasis"/>
    <w:basedOn w:val="1000"/>
    <w:uiPriority w:val="20"/>
    <w:qFormat/>
    <w:pPr>
      <w:pBdr/>
      <w:spacing/>
      <w:ind/>
    </w:pPr>
    <w:rPr>
      <w:i/>
      <w:iCs/>
    </w:rPr>
  </w:style>
  <w:style w:type="character" w:styleId="981">
    <w:name w:val="Strong"/>
    <w:basedOn w:val="1000"/>
    <w:uiPriority w:val="22"/>
    <w:qFormat/>
    <w:pPr>
      <w:pBdr/>
      <w:spacing/>
      <w:ind/>
    </w:pPr>
    <w:rPr>
      <w:b/>
      <w:bCs/>
    </w:rPr>
  </w:style>
  <w:style w:type="character" w:styleId="982">
    <w:name w:val="Subtle Reference"/>
    <w:basedOn w:val="1000"/>
    <w:uiPriority w:val="31"/>
    <w:qFormat/>
    <w:pPr>
      <w:pBdr/>
      <w:spacing/>
      <w:ind/>
    </w:pPr>
    <w:rPr>
      <w:smallCaps/>
      <w:color w:val="5a5a5a" w:themeColor="text1" w:themeTint="A5"/>
    </w:rPr>
  </w:style>
  <w:style w:type="character" w:styleId="983">
    <w:name w:val="Book Title"/>
    <w:basedOn w:val="1000"/>
    <w:uiPriority w:val="33"/>
    <w:qFormat/>
    <w:pPr>
      <w:pBdr/>
      <w:spacing/>
      <w:ind/>
    </w:pPr>
    <w:rPr>
      <w:b/>
      <w:bCs/>
      <w:i/>
      <w:iCs/>
      <w:spacing w:val="5"/>
    </w:rPr>
  </w:style>
  <w:style w:type="paragraph" w:styleId="984">
    <w:name w:val="Caption"/>
    <w:basedOn w:val="990"/>
    <w:next w:val="990"/>
    <w:uiPriority w:val="35"/>
    <w:unhideWhenUsed/>
    <w:qFormat/>
    <w:pPr>
      <w:pBdr/>
      <w:spacing w:after="200" w:line="240" w:lineRule="auto"/>
      <w:ind/>
    </w:pPr>
    <w:rPr>
      <w:i/>
      <w:iCs/>
      <w:color w:val="0e2841" w:themeColor="text2"/>
      <w:sz w:val="18"/>
      <w:szCs w:val="18"/>
    </w:rPr>
  </w:style>
  <w:style w:type="paragraph" w:styleId="985">
    <w:name w:val="endnote text"/>
    <w:basedOn w:val="990"/>
    <w:link w:val="986"/>
    <w:uiPriority w:val="99"/>
    <w:semiHidden/>
    <w:unhideWhenUsed/>
    <w:pPr>
      <w:pBdr/>
      <w:spacing w:after="0" w:line="240" w:lineRule="auto"/>
      <w:ind/>
    </w:pPr>
    <w:rPr>
      <w:sz w:val="20"/>
      <w:szCs w:val="20"/>
    </w:rPr>
  </w:style>
  <w:style w:type="character" w:styleId="986">
    <w:name w:val="Endnote Text Char"/>
    <w:basedOn w:val="1000"/>
    <w:link w:val="985"/>
    <w:uiPriority w:val="99"/>
    <w:semiHidden/>
    <w:pPr>
      <w:pBdr/>
      <w:spacing/>
      <w:ind/>
    </w:pPr>
    <w:rPr>
      <w:sz w:val="20"/>
      <w:szCs w:val="20"/>
    </w:rPr>
  </w:style>
  <w:style w:type="character" w:styleId="987">
    <w:name w:val="endnote reference"/>
    <w:basedOn w:val="1000"/>
    <w:uiPriority w:val="99"/>
    <w:semiHidden/>
    <w:unhideWhenUsed/>
    <w:pPr>
      <w:pBdr/>
      <w:spacing/>
      <w:ind/>
    </w:pPr>
    <w:rPr>
      <w:vertAlign w:val="superscript"/>
    </w:rPr>
  </w:style>
  <w:style w:type="character" w:styleId="988">
    <w:name w:val="FollowedHyperlink"/>
    <w:basedOn w:val="1000"/>
    <w:uiPriority w:val="99"/>
    <w:semiHidden/>
    <w:unhideWhenUsed/>
    <w:pPr>
      <w:pBdr/>
      <w:spacing/>
      <w:ind/>
    </w:pPr>
    <w:rPr>
      <w:color w:val="954f72" w:themeColor="followedHyperlink"/>
      <w:u w:val="single"/>
    </w:rPr>
  </w:style>
  <w:style w:type="paragraph" w:styleId="989">
    <w:name w:val="table of figures"/>
    <w:basedOn w:val="990"/>
    <w:next w:val="990"/>
    <w:uiPriority w:val="99"/>
    <w:unhideWhenUsed/>
    <w:pPr>
      <w:pBdr/>
      <w:spacing w:after="0" w:afterAutospacing="0"/>
      <w:ind/>
    </w:pPr>
  </w:style>
  <w:style w:type="paragraph" w:styleId="990" w:default="1">
    <w:name w:val="Normal"/>
    <w:qFormat/>
    <w:pPr>
      <w:pBdr/>
      <w:spacing/>
      <w:ind/>
    </w:pPr>
    <w:rPr>
      <w:sz w:val="24"/>
      <w:szCs w:val="24"/>
    </w:rPr>
  </w:style>
  <w:style w:type="paragraph" w:styleId="991">
    <w:name w:val="Heading 1"/>
    <w:basedOn w:val="990"/>
    <w:next w:val="990"/>
    <w:link w:val="1105"/>
    <w:uiPriority w:val="9"/>
    <w:qFormat/>
    <w:pPr>
      <w:keepNext w:val="true"/>
      <w:keepLines w:val="true"/>
      <w:pBdr/>
      <w:spacing w:after="200" w:before="480"/>
      <w:ind/>
      <w:outlineLvl w:val="0"/>
    </w:pPr>
    <w:rPr>
      <w:rFonts w:ascii="Arial" w:hAnsi="Arial" w:eastAsia="Arial" w:cs="Arial"/>
      <w:sz w:val="40"/>
      <w:szCs w:val="40"/>
    </w:rPr>
  </w:style>
  <w:style w:type="paragraph" w:styleId="992">
    <w:name w:val="Heading 2"/>
    <w:basedOn w:val="990"/>
    <w:next w:val="990"/>
    <w:link w:val="1106"/>
    <w:uiPriority w:val="9"/>
    <w:unhideWhenUsed/>
    <w:qFormat/>
    <w:pPr>
      <w:keepNext w:val="true"/>
      <w:keepLines w:val="true"/>
      <w:pBdr/>
      <w:spacing w:after="200" w:before="360"/>
      <w:ind/>
      <w:outlineLvl w:val="1"/>
    </w:pPr>
    <w:rPr>
      <w:rFonts w:ascii="Arial" w:hAnsi="Arial" w:eastAsia="Arial" w:cs="Arial"/>
      <w:sz w:val="34"/>
    </w:rPr>
  </w:style>
  <w:style w:type="paragraph" w:styleId="993">
    <w:name w:val="Heading 3"/>
    <w:basedOn w:val="990"/>
    <w:next w:val="990"/>
    <w:link w:val="1107"/>
    <w:uiPriority w:val="9"/>
    <w:unhideWhenUsed/>
    <w:qFormat/>
    <w:pPr>
      <w:keepNext w:val="true"/>
      <w:keepLines w:val="true"/>
      <w:pBdr/>
      <w:spacing w:after="200" w:before="320"/>
      <w:ind/>
      <w:outlineLvl w:val="2"/>
    </w:pPr>
    <w:rPr>
      <w:rFonts w:ascii="Arial" w:hAnsi="Arial" w:eastAsia="Arial" w:cs="Arial"/>
      <w:sz w:val="30"/>
      <w:szCs w:val="30"/>
    </w:rPr>
  </w:style>
  <w:style w:type="paragraph" w:styleId="994">
    <w:name w:val="Heading 4"/>
    <w:basedOn w:val="990"/>
    <w:next w:val="990"/>
    <w:link w:val="1108"/>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995">
    <w:name w:val="Heading 5"/>
    <w:basedOn w:val="990"/>
    <w:next w:val="990"/>
    <w:link w:val="1109"/>
    <w:uiPriority w:val="9"/>
    <w:unhideWhenUsed/>
    <w:qFormat/>
    <w:pPr>
      <w:keepNext w:val="true"/>
      <w:keepLines w:val="true"/>
      <w:pBdr/>
      <w:spacing w:after="200" w:before="320"/>
      <w:ind/>
      <w:outlineLvl w:val="4"/>
    </w:pPr>
    <w:rPr>
      <w:rFonts w:ascii="Arial" w:hAnsi="Arial" w:eastAsia="Arial" w:cs="Arial"/>
      <w:b/>
      <w:bCs/>
    </w:rPr>
  </w:style>
  <w:style w:type="paragraph" w:styleId="996">
    <w:name w:val="Heading 6"/>
    <w:basedOn w:val="990"/>
    <w:next w:val="990"/>
    <w:link w:val="1110"/>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997">
    <w:name w:val="Heading 7"/>
    <w:basedOn w:val="990"/>
    <w:next w:val="990"/>
    <w:link w:val="1111"/>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998">
    <w:name w:val="Heading 8"/>
    <w:basedOn w:val="990"/>
    <w:next w:val="990"/>
    <w:link w:val="1112"/>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999">
    <w:name w:val="Heading 9"/>
    <w:basedOn w:val="990"/>
    <w:next w:val="990"/>
    <w:link w:val="11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000" w:default="1">
    <w:name w:val="Default Paragraph Font"/>
    <w:uiPriority w:val="1"/>
    <w:semiHidden/>
    <w:unhideWhenUsed/>
    <w:pPr>
      <w:pBdr/>
      <w:spacing/>
      <w:ind/>
    </w:pPr>
  </w:style>
  <w:style w:type="table" w:styleId="100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02" w:default="1">
    <w:name w:val="No List"/>
    <w:uiPriority w:val="99"/>
    <w:semiHidden/>
    <w:unhideWhenUsed/>
    <w:pPr>
      <w:pBdr/>
      <w:spacing/>
      <w:ind/>
    </w:pPr>
  </w:style>
  <w:style w:type="table" w:styleId="1003">
    <w:name w:val="Grid Table Light"/>
    <w:basedOn w:val="100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Grid Table 1 Light Accent 1"/>
    <w:basedOn w:val="1001"/>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Grid Table 1 Light Accent 2"/>
    <w:basedOn w:val="1001"/>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Grid Table 1 Light Accent 3"/>
    <w:basedOn w:val="1001"/>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Grid Table 1 Light Accent 4"/>
    <w:basedOn w:val="1001"/>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Grid Table 1 Light Accent 5"/>
    <w:basedOn w:val="1001"/>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Grid Table 1 Light Accent 6"/>
    <w:basedOn w:val="1001"/>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Grid Table 2 Accent 1"/>
    <w:basedOn w:val="1001"/>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Grid Table 2 Accent 2"/>
    <w:basedOn w:val="1001"/>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Grid Table 2 Accent 3"/>
    <w:basedOn w:val="1001"/>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Grid Table 2 Accent 4"/>
    <w:basedOn w:val="1001"/>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Grid Table 2 Accent 5"/>
    <w:basedOn w:val="1001"/>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Grid Table 2 Accent 6"/>
    <w:basedOn w:val="1001"/>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Grid Table 3 Accent 1"/>
    <w:basedOn w:val="1001"/>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Grid Table 3 Accent 2"/>
    <w:basedOn w:val="1001"/>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Grid Table 3 Accent 3"/>
    <w:basedOn w:val="1001"/>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Grid Table 3 Accent 4"/>
    <w:basedOn w:val="1001"/>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Grid Table 3 Accent 5"/>
    <w:basedOn w:val="1001"/>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Grid Table 3 Accent 6"/>
    <w:basedOn w:val="1001"/>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Grid Table 4 Accent 1"/>
    <w:basedOn w:val="1001"/>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Grid Table 4 Accent 2"/>
    <w:basedOn w:val="1001"/>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Grid Table 4 Accent 3"/>
    <w:basedOn w:val="1001"/>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Grid Table 4 Accent 4"/>
    <w:basedOn w:val="1001"/>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Grid Table 4 Accent 5"/>
    <w:basedOn w:val="1001"/>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Grid Table 4 Accent 6"/>
    <w:basedOn w:val="1001"/>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Grid Table 5 Dark Accent 2"/>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Grid Table 5 Dark Accent 3"/>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Grid Table 5 Dark Accent 5"/>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Grid Table 5 Dark Accent 6"/>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Grid Table 6 Colorful Accent 1"/>
    <w:basedOn w:val="1001"/>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Grid Table 6 Colorful Accent 2"/>
    <w:basedOn w:val="1001"/>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Grid Table 6 Colorful Accent 3"/>
    <w:basedOn w:val="1001"/>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Grid Table 6 Colorful Accent 4"/>
    <w:basedOn w:val="1001"/>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Grid Table 6 Colorful Accent 5"/>
    <w:basedOn w:val="1001"/>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Grid Table 6 Colorful Accent 6"/>
    <w:basedOn w:val="1001"/>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Grid Table 7 Colorful Accent 1"/>
    <w:basedOn w:val="1001"/>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Grid Table 7 Colorful Accent 2"/>
    <w:basedOn w:val="1001"/>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Grid Table 7 Colorful Accent 3"/>
    <w:basedOn w:val="1001"/>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Grid Table 7 Colorful Accent 4"/>
    <w:basedOn w:val="1001"/>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Grid Table 7 Colorful Accent 5"/>
    <w:basedOn w:val="1001"/>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Grid Table 7 Colorful Accent 6"/>
    <w:basedOn w:val="1001"/>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List Table 1 Light Accent 1"/>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List Table 1 Light Accent 2"/>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List Table 1 Light Accent 3"/>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List Table 1 Light Accent 4"/>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List Table 1 Light Accent 5"/>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List Table 1 Light Accent 6"/>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List Table 2 Accent 1"/>
    <w:basedOn w:val="1001"/>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List Table 2 Accent 2"/>
    <w:basedOn w:val="1001"/>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List Table 2 Accent 3"/>
    <w:basedOn w:val="1001"/>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List Table 2 Accent 4"/>
    <w:basedOn w:val="1001"/>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List Table 2 Accent 5"/>
    <w:basedOn w:val="1001"/>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List Table 2 Accent 6"/>
    <w:basedOn w:val="1001"/>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List Table 3 Accent 1"/>
    <w:basedOn w:val="1001"/>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List Table 3 Accent 2"/>
    <w:basedOn w:val="1001"/>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List Table 3 Accent 3"/>
    <w:basedOn w:val="1001"/>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List Table 3 Accent 4"/>
    <w:basedOn w:val="1001"/>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List Table 3 Accent 5"/>
    <w:basedOn w:val="1001"/>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List Table 3 Accent 6"/>
    <w:basedOn w:val="1001"/>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List Table 4 Accent 1"/>
    <w:basedOn w:val="1001"/>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name w:val="List Table 4 Accent 2"/>
    <w:basedOn w:val="1001"/>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name w:val="List Table 4 Accent 3"/>
    <w:basedOn w:val="1001"/>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name w:val="List Table 4 Accent 4"/>
    <w:basedOn w:val="1001"/>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name w:val="List Table 4 Accent 5"/>
    <w:basedOn w:val="1001"/>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List Table 4 Accent 6"/>
    <w:basedOn w:val="1001"/>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List Table 5 Dark Accent 1"/>
    <w:basedOn w:val="1001"/>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List Table 5 Dark Accent 2"/>
    <w:basedOn w:val="1001"/>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List Table 5 Dark Accent 3"/>
    <w:basedOn w:val="1001"/>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name w:val="List Table 5 Dark Accent 4"/>
    <w:basedOn w:val="1001"/>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List Table 5 Dark Accent 5"/>
    <w:basedOn w:val="1001"/>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List Table 5 Dark Accent 6"/>
    <w:basedOn w:val="1001"/>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List Table 6 Colorful Accent 1"/>
    <w:basedOn w:val="1001"/>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List Table 6 Colorful Accent 2"/>
    <w:basedOn w:val="1001"/>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name w:val="List Table 6 Colorful Accent 3"/>
    <w:basedOn w:val="1001"/>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List Table 6 Colorful Accent 4"/>
    <w:basedOn w:val="1001"/>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name w:val="List Table 6 Colorful Accent 5"/>
    <w:basedOn w:val="1001"/>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name w:val="List Table 6 Colorful Accent 6"/>
    <w:basedOn w:val="1001"/>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List Table 7 Colorful Accent 1"/>
    <w:basedOn w:val="1001"/>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List Table 7 Colorful Accent 2"/>
    <w:basedOn w:val="1001"/>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List Table 7 Colorful Accent 3"/>
    <w:basedOn w:val="1001"/>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List Table 7 Colorful Accent 4"/>
    <w:basedOn w:val="1001"/>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List Table 7 Colorful Accent 5"/>
    <w:basedOn w:val="1001"/>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List Table 7 Colorful Accent 6"/>
    <w:basedOn w:val="1001"/>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Plain Table 1"/>
    <w:basedOn w:val="100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Plain Table 2"/>
    <w:basedOn w:val="1001"/>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Plain Table 3"/>
    <w:basedOn w:val="10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Plain Table 4"/>
    <w:basedOn w:val="10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Plain Table 5"/>
    <w:basedOn w:val="10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Grid Table 1 Light"/>
    <w:basedOn w:val="1001"/>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Grid Table 2"/>
    <w:basedOn w:val="100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Grid Table 3"/>
    <w:basedOn w:val="100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Grid Table 4"/>
    <w:basedOn w:val="1001"/>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Grid Table 5 Dark"/>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Grid Table 6 Colorful"/>
    <w:basedOn w:val="1001"/>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Grid Table 7 Colorful"/>
    <w:basedOn w:val="1001"/>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List Table 1 Light"/>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List Table 2"/>
    <w:basedOn w:val="1001"/>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List Table 3"/>
    <w:basedOn w:val="100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name w:val="List Table 4"/>
    <w:basedOn w:val="100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List Table 5 Dark"/>
    <w:basedOn w:val="1001"/>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name w:val="List Table 6 Colorful"/>
    <w:basedOn w:val="1001"/>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name w:val="List Table 7 Colorful"/>
    <w:basedOn w:val="1001"/>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05" w:customStyle="1">
    <w:name w:val="Heading 1 Char"/>
    <w:basedOn w:val="1000"/>
    <w:link w:val="991"/>
    <w:uiPriority w:val="9"/>
    <w:pPr>
      <w:pBdr/>
      <w:spacing/>
      <w:ind/>
    </w:pPr>
    <w:rPr>
      <w:rFonts w:ascii="Arial" w:hAnsi="Arial" w:eastAsia="Arial" w:cs="Arial"/>
      <w:sz w:val="40"/>
      <w:szCs w:val="40"/>
    </w:rPr>
  </w:style>
  <w:style w:type="character" w:styleId="1106" w:customStyle="1">
    <w:name w:val="Heading 2 Char"/>
    <w:basedOn w:val="1000"/>
    <w:link w:val="992"/>
    <w:uiPriority w:val="9"/>
    <w:pPr>
      <w:pBdr/>
      <w:spacing/>
      <w:ind/>
    </w:pPr>
    <w:rPr>
      <w:rFonts w:ascii="Arial" w:hAnsi="Arial" w:eastAsia="Arial" w:cs="Arial"/>
      <w:sz w:val="34"/>
    </w:rPr>
  </w:style>
  <w:style w:type="character" w:styleId="1107" w:customStyle="1">
    <w:name w:val="Heading 3 Char"/>
    <w:basedOn w:val="1000"/>
    <w:link w:val="993"/>
    <w:uiPriority w:val="9"/>
    <w:pPr>
      <w:pBdr/>
      <w:spacing/>
      <w:ind/>
    </w:pPr>
    <w:rPr>
      <w:rFonts w:ascii="Arial" w:hAnsi="Arial" w:eastAsia="Arial" w:cs="Arial"/>
      <w:sz w:val="30"/>
      <w:szCs w:val="30"/>
    </w:rPr>
  </w:style>
  <w:style w:type="character" w:styleId="1108" w:customStyle="1">
    <w:name w:val="Heading 4 Char"/>
    <w:basedOn w:val="1000"/>
    <w:link w:val="994"/>
    <w:uiPriority w:val="9"/>
    <w:pPr>
      <w:pBdr/>
      <w:spacing/>
      <w:ind/>
    </w:pPr>
    <w:rPr>
      <w:rFonts w:ascii="Arial" w:hAnsi="Arial" w:eastAsia="Arial" w:cs="Arial"/>
      <w:b/>
      <w:bCs/>
      <w:sz w:val="26"/>
      <w:szCs w:val="26"/>
    </w:rPr>
  </w:style>
  <w:style w:type="character" w:styleId="1109" w:customStyle="1">
    <w:name w:val="Heading 5 Char"/>
    <w:basedOn w:val="1000"/>
    <w:link w:val="995"/>
    <w:uiPriority w:val="9"/>
    <w:pPr>
      <w:pBdr/>
      <w:spacing/>
      <w:ind/>
    </w:pPr>
    <w:rPr>
      <w:rFonts w:ascii="Arial" w:hAnsi="Arial" w:eastAsia="Arial" w:cs="Arial"/>
      <w:b/>
      <w:bCs/>
      <w:sz w:val="24"/>
      <w:szCs w:val="24"/>
    </w:rPr>
  </w:style>
  <w:style w:type="character" w:styleId="1110" w:customStyle="1">
    <w:name w:val="Heading 6 Char"/>
    <w:basedOn w:val="1000"/>
    <w:link w:val="996"/>
    <w:uiPriority w:val="9"/>
    <w:pPr>
      <w:pBdr/>
      <w:spacing/>
      <w:ind/>
    </w:pPr>
    <w:rPr>
      <w:rFonts w:ascii="Arial" w:hAnsi="Arial" w:eastAsia="Arial" w:cs="Arial"/>
      <w:b/>
      <w:bCs/>
      <w:sz w:val="22"/>
      <w:szCs w:val="22"/>
    </w:rPr>
  </w:style>
  <w:style w:type="character" w:styleId="1111" w:customStyle="1">
    <w:name w:val="Heading 7 Char"/>
    <w:basedOn w:val="1000"/>
    <w:link w:val="997"/>
    <w:uiPriority w:val="9"/>
    <w:pPr>
      <w:pBdr/>
      <w:spacing/>
      <w:ind/>
    </w:pPr>
    <w:rPr>
      <w:rFonts w:ascii="Arial" w:hAnsi="Arial" w:eastAsia="Arial" w:cs="Arial"/>
      <w:b/>
      <w:bCs/>
      <w:i/>
      <w:iCs/>
      <w:sz w:val="22"/>
      <w:szCs w:val="22"/>
    </w:rPr>
  </w:style>
  <w:style w:type="character" w:styleId="1112" w:customStyle="1">
    <w:name w:val="Heading 8 Char"/>
    <w:basedOn w:val="1000"/>
    <w:link w:val="998"/>
    <w:uiPriority w:val="9"/>
    <w:pPr>
      <w:pBdr/>
      <w:spacing/>
      <w:ind/>
    </w:pPr>
    <w:rPr>
      <w:rFonts w:ascii="Arial" w:hAnsi="Arial" w:eastAsia="Arial" w:cs="Arial"/>
      <w:i/>
      <w:iCs/>
      <w:sz w:val="22"/>
      <w:szCs w:val="22"/>
    </w:rPr>
  </w:style>
  <w:style w:type="character" w:styleId="1113" w:customStyle="1">
    <w:name w:val="Heading 9 Char"/>
    <w:basedOn w:val="1000"/>
    <w:link w:val="999"/>
    <w:uiPriority w:val="9"/>
    <w:pPr>
      <w:pBdr/>
      <w:spacing/>
      <w:ind/>
    </w:pPr>
    <w:rPr>
      <w:rFonts w:ascii="Arial" w:hAnsi="Arial" w:eastAsia="Arial" w:cs="Arial"/>
      <w:i/>
      <w:iCs/>
      <w:sz w:val="21"/>
      <w:szCs w:val="21"/>
    </w:rPr>
  </w:style>
  <w:style w:type="paragraph" w:styleId="1114">
    <w:name w:val="No Spacing"/>
    <w:uiPriority w:val="1"/>
    <w:qFormat/>
    <w:pPr>
      <w:pBdr/>
      <w:spacing/>
      <w:ind/>
    </w:pPr>
  </w:style>
  <w:style w:type="paragraph" w:styleId="1115">
    <w:name w:val="Title"/>
    <w:basedOn w:val="990"/>
    <w:next w:val="990"/>
    <w:link w:val="1116"/>
    <w:uiPriority w:val="10"/>
    <w:qFormat/>
    <w:pPr>
      <w:pBdr/>
      <w:spacing w:after="200" w:before="300"/>
      <w:ind/>
      <w:contextualSpacing w:val="true"/>
    </w:pPr>
    <w:rPr>
      <w:sz w:val="48"/>
      <w:szCs w:val="48"/>
    </w:rPr>
  </w:style>
  <w:style w:type="character" w:styleId="1116" w:customStyle="1">
    <w:name w:val="Title Char"/>
    <w:basedOn w:val="1000"/>
    <w:link w:val="1115"/>
    <w:uiPriority w:val="10"/>
    <w:pPr>
      <w:pBdr/>
      <w:spacing/>
      <w:ind/>
    </w:pPr>
    <w:rPr>
      <w:sz w:val="48"/>
      <w:szCs w:val="48"/>
    </w:rPr>
  </w:style>
  <w:style w:type="paragraph" w:styleId="1117">
    <w:name w:val="Subtitle"/>
    <w:basedOn w:val="990"/>
    <w:next w:val="990"/>
    <w:link w:val="1118"/>
    <w:uiPriority w:val="11"/>
    <w:qFormat/>
    <w:pPr>
      <w:pBdr/>
      <w:spacing w:after="200" w:before="200"/>
      <w:ind/>
    </w:pPr>
  </w:style>
  <w:style w:type="character" w:styleId="1118" w:customStyle="1">
    <w:name w:val="Subtitle Char"/>
    <w:basedOn w:val="1000"/>
    <w:link w:val="1117"/>
    <w:uiPriority w:val="11"/>
    <w:pPr>
      <w:pBdr/>
      <w:spacing/>
      <w:ind/>
    </w:pPr>
    <w:rPr>
      <w:sz w:val="24"/>
      <w:szCs w:val="24"/>
    </w:rPr>
  </w:style>
  <w:style w:type="paragraph" w:styleId="1119">
    <w:name w:val="Quote"/>
    <w:basedOn w:val="990"/>
    <w:next w:val="990"/>
    <w:link w:val="1120"/>
    <w:uiPriority w:val="29"/>
    <w:qFormat/>
    <w:pPr>
      <w:pBdr/>
      <w:spacing/>
      <w:ind w:right="720" w:left="720"/>
    </w:pPr>
    <w:rPr>
      <w:i/>
    </w:rPr>
  </w:style>
  <w:style w:type="character" w:styleId="1120" w:customStyle="1">
    <w:name w:val="Quote Char"/>
    <w:link w:val="1119"/>
    <w:uiPriority w:val="29"/>
    <w:pPr>
      <w:pBdr/>
      <w:spacing/>
      <w:ind/>
    </w:pPr>
    <w:rPr>
      <w:i/>
    </w:rPr>
  </w:style>
  <w:style w:type="paragraph" w:styleId="1121">
    <w:name w:val="Intense Quote"/>
    <w:basedOn w:val="990"/>
    <w:next w:val="990"/>
    <w:link w:val="112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1122" w:customStyle="1">
    <w:name w:val="Intense Quote Char"/>
    <w:link w:val="1121"/>
    <w:uiPriority w:val="30"/>
    <w:pPr>
      <w:pBdr/>
      <w:spacing/>
      <w:ind/>
    </w:pPr>
    <w:rPr>
      <w:i/>
    </w:rPr>
  </w:style>
  <w:style w:type="table" w:styleId="1123" w:customStyle="1">
    <w:name w:val="Table Grid Light1"/>
    <w:basedOn w:val="100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Plain Table 11"/>
    <w:basedOn w:val="100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Plain Table 21"/>
    <w:basedOn w:val="1001"/>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Plain Table 31"/>
    <w:basedOn w:val="10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Plain Table 41"/>
    <w:basedOn w:val="10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Plain Table 51"/>
    <w:basedOn w:val="10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auto" w:fill="f2f2f2" w:themeFill="text1" w:themeFillTint="0D"/>
        <w:tcBorders/>
      </w:tcPr>
    </w:tblStylePr>
    <w:tblStylePr w:type="band1Vert">
      <w:rPr>
        <w:rFonts w:ascii="Arial" w:hAnsi="Arial"/>
        <w:color w:val="404040"/>
        <w:sz w:val="22"/>
      </w:rPr>
      <w:pPr>
        <w:pBdr/>
        <w:spacing/>
        <w:ind/>
      </w:pPr>
      <w:tblPr>
        <w:tblBorders/>
      </w:tblPr>
      <w:tcPr>
        <w:shd w:val="clear" w:color="auto"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1 Light1"/>
    <w:basedOn w:val="1001"/>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1 Light - Accent 11"/>
    <w:basedOn w:val="1001"/>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1 Light - Accent 21"/>
    <w:basedOn w:val="1001"/>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1 Light - Accent 31"/>
    <w:basedOn w:val="1001"/>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Grid Table 1 Light - Accent 41"/>
    <w:basedOn w:val="1001"/>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Grid Table 1 Light - Accent 51"/>
    <w:basedOn w:val="1001"/>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Grid Table 1 Light - Accent 61"/>
    <w:basedOn w:val="1001"/>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Grid Table 21"/>
    <w:basedOn w:val="100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Grid Table 2 - Accent 11"/>
    <w:basedOn w:val="1001"/>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Grid Table 2 - Accent 21"/>
    <w:basedOn w:val="1001"/>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Grid Table 2 - Accent 31"/>
    <w:basedOn w:val="1001"/>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Grid Table 2 - Accent 41"/>
    <w:basedOn w:val="1001"/>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Grid Table 2 - Accent 51"/>
    <w:basedOn w:val="1001"/>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Grid Table 2 - Accent 61"/>
    <w:basedOn w:val="1001"/>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Grid Table 31"/>
    <w:basedOn w:val="100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Grid Table 3 - Accent 11"/>
    <w:basedOn w:val="1001"/>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auto" w:fill="dae5f1" w:themeFill="accent1" w:themeFillTint="34"/>
        <w:tcBorders/>
      </w:tcPr>
    </w:tblStylePr>
    <w:tblStylePr w:type="band1Vert">
      <w:rPr>
        <w:rFonts w:ascii="Arial" w:hAnsi="Arial"/>
        <w:color w:val="404040"/>
        <w:sz w:val="22"/>
      </w:rPr>
      <w:pPr>
        <w:pBdr/>
        <w:spacing/>
        <w:ind/>
      </w:pPr>
      <w:tblPr>
        <w:tblBorders/>
      </w:tblPr>
      <w:tcPr>
        <w:shd w:val="clear" w:color="auto"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Grid Table 3 - Accent 21"/>
    <w:basedOn w:val="1001"/>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Grid Table 3 - Accent 31"/>
    <w:basedOn w:val="1001"/>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Grid Table 3 - Accent 41"/>
    <w:basedOn w:val="1001"/>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Grid Table 3 - Accent 51"/>
    <w:basedOn w:val="1001"/>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Grid Table 3 - Accent 61"/>
    <w:basedOn w:val="1001"/>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Grid Table 41"/>
    <w:basedOn w:val="1001"/>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cbcbcb" w:themeFill="text1" w:themeFillTint="34"/>
        <w:tcBorders/>
      </w:tcPr>
    </w:tblStylePr>
    <w:tblStylePr w:type="band1Vert">
      <w:rPr>
        <w:rFonts w:ascii="Arial" w:hAnsi="Arial"/>
        <w:color w:val="404040"/>
        <w:sz w:val="22"/>
      </w:rPr>
      <w:pPr>
        <w:pBdr/>
        <w:spacing/>
        <w:ind/>
      </w:pPr>
      <w:tblPr>
        <w:tblBorders/>
      </w:tblPr>
      <w:tcPr>
        <w:shd w:val="clear" w:color="auto"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Grid Table 4 - Accent 11"/>
    <w:basedOn w:val="1001"/>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ce6f2" w:themeFill="accent1" w:themeFillTint="32"/>
        <w:tcBorders/>
      </w:tcPr>
    </w:tblStylePr>
    <w:tblStylePr w:type="band1Vert">
      <w:rPr>
        <w:rFonts w:ascii="Arial" w:hAnsi="Arial"/>
        <w:color w:val="404040"/>
        <w:sz w:val="22"/>
      </w:rPr>
      <w:pPr>
        <w:pBdr/>
        <w:spacing/>
        <w:ind/>
      </w:pPr>
      <w:tblPr>
        <w:tblBorders/>
      </w:tblPr>
      <w:tcPr>
        <w:shd w:val="clear" w:color="auto"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Grid Table 4 - Accent 21"/>
    <w:basedOn w:val="1001"/>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2dcdc" w:themeFill="accent2" w:themeFillTint="32"/>
        <w:tcBorders/>
      </w:tcPr>
    </w:tblStylePr>
    <w:tblStylePr w:type="band1Vert">
      <w:rPr>
        <w:rFonts w:ascii="Arial" w:hAnsi="Arial"/>
        <w:color w:val="404040"/>
        <w:sz w:val="22"/>
      </w:rPr>
      <w:pPr>
        <w:pBdr/>
        <w:spacing/>
        <w:ind/>
      </w:pPr>
      <w:tblPr>
        <w:tblBorders/>
      </w:tblPr>
      <w:tcPr>
        <w:shd w:val="clear" w:color="auto"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Grid Table 4 - Accent 31"/>
    <w:basedOn w:val="1001"/>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af1dc" w:themeFill="accent3" w:themeFillTint="34"/>
        <w:tcBorders/>
      </w:tcPr>
    </w:tblStylePr>
    <w:tblStylePr w:type="band1Vert">
      <w:rPr>
        <w:rFonts w:ascii="Arial" w:hAnsi="Arial"/>
        <w:color w:val="404040"/>
        <w:sz w:val="22"/>
      </w:rPr>
      <w:pPr>
        <w:pBdr/>
        <w:spacing/>
        <w:ind/>
      </w:pPr>
      <w:tblPr>
        <w:tblBorders/>
      </w:tblPr>
      <w:tcPr>
        <w:shd w:val="clear" w:color="auto"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Grid Table 4 - Accent 41"/>
    <w:basedOn w:val="1001"/>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e5dfec" w:themeFill="accent4" w:themeFillTint="34"/>
        <w:tcBorders/>
      </w:tcPr>
    </w:tblStylePr>
    <w:tblStylePr w:type="band1Vert">
      <w:rPr>
        <w:rFonts w:ascii="Arial" w:hAnsi="Arial"/>
        <w:color w:val="404040"/>
        <w:sz w:val="22"/>
      </w:rPr>
      <w:pPr>
        <w:pBdr/>
        <w:spacing/>
        <w:ind/>
      </w:pPr>
      <w:tblPr>
        <w:tblBorders/>
      </w:tblPr>
      <w:tcPr>
        <w:shd w:val="clear" w:color="auto"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Grid Table 4 - Accent 51"/>
    <w:basedOn w:val="1001"/>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aeef3" w:themeFill="accent5" w:themeFillTint="34"/>
        <w:tcBorders/>
      </w:tcPr>
    </w:tblStylePr>
    <w:tblStylePr w:type="band1Vert">
      <w:rPr>
        <w:rFonts w:ascii="Arial" w:hAnsi="Arial"/>
        <w:color w:val="404040"/>
        <w:sz w:val="22"/>
      </w:rPr>
      <w:pPr>
        <w:pBdr/>
        <w:spacing/>
        <w:ind/>
      </w:pPr>
      <w:tblPr>
        <w:tblBorders/>
      </w:tblPr>
      <w:tcPr>
        <w:shd w:val="clear" w:color="auto"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Grid Table 4 - Accent 61"/>
    <w:basedOn w:val="1001"/>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9d8" w:themeFill="accent6" w:themeFillTint="34"/>
        <w:tcBorders/>
      </w:tcPr>
    </w:tblStylePr>
    <w:tblStylePr w:type="band1Vert">
      <w:rPr>
        <w:rFonts w:ascii="Arial" w:hAnsi="Arial"/>
        <w:color w:val="404040"/>
        <w:sz w:val="22"/>
      </w:rPr>
      <w:pPr>
        <w:pBdr/>
        <w:spacing/>
        <w:ind/>
      </w:pPr>
      <w:tblPr>
        <w:tblBorders/>
      </w:tblPr>
      <w:tcPr>
        <w:shd w:val="clear" w:color="auto"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Grid Table 5 Dark1"/>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cPr>
      <w:tcBorders/>
    </w:tcPr>
    <w:tblStylePr w:type="band1Horz">
      <w:pPr>
        <w:pBdr/>
        <w:spacing/>
        <w:ind/>
      </w:pPr>
      <w:tblPr>
        <w:tblBorders/>
      </w:tblPr>
      <w:tcPr>
        <w:shd w:val="clear" w:color="auto" w:fill="8a8a8a" w:themeFill="text1" w:themeFillTint="75"/>
        <w:tcBorders/>
      </w:tcPr>
    </w:tblStylePr>
    <w:tblStylePr w:type="band1Vert">
      <w:pPr>
        <w:pBdr/>
        <w:spacing/>
        <w:ind/>
      </w:pPr>
      <w:tblPr>
        <w:tblBorders/>
      </w:tblPr>
      <w:tcPr>
        <w:shd w:val="clear" w:color="auto"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hemeFill="text1"/>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rFonts w:ascii="Arial" w:hAnsi="Arial"/>
        <w:b/>
        <w:color w:val="ffffff"/>
        <w:sz w:val="22"/>
      </w:rPr>
      <w:pPr>
        <w:pBdr/>
        <w:spacing/>
        <w:ind/>
      </w:pPr>
      <w:tblPr>
        <w:tblBorders/>
      </w:tblPr>
      <w:tcPr>
        <w:shd w:val="clear" w:color="auto" w:fill="000000" w:themeFill="text1"/>
        <w:tcBorders/>
      </w:tcPr>
    </w:tblStylePr>
    <w:tblStylePr w:type="lastRow">
      <w:rPr>
        <w:rFonts w:ascii="Arial" w:hAnsi="Arial"/>
        <w:b/>
        <w:color w:val="ffffff"/>
        <w:sz w:val="22"/>
      </w:rPr>
      <w:pPr>
        <w:pBdr/>
        <w:spacing/>
        <w:ind/>
      </w:pPr>
      <w:tblPr>
        <w:tblBorders/>
      </w:tblPr>
      <w:tcPr>
        <w:shd w:val="clear" w:color="auto"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Grid Table 5 Dark- Accent 1"/>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hemeFill="accent1" w:themeFillTint="34"/>
    </w:tblPr>
    <w:tcPr>
      <w:tcBorders/>
    </w:tcPr>
    <w:tblStylePr w:type="band1Horz">
      <w:pPr>
        <w:pBdr/>
        <w:spacing/>
        <w:ind/>
      </w:pPr>
      <w:tblPr>
        <w:tblBorders/>
      </w:tblPr>
      <w:tcPr>
        <w:shd w:val="clear" w:color="auto" w:fill="aec4e0" w:themeFill="accent1" w:themeFillTint="75"/>
        <w:tcBorders/>
      </w:tcPr>
    </w:tblStylePr>
    <w:tblStylePr w:type="band1Vert">
      <w:pPr>
        <w:pBdr/>
        <w:spacing/>
        <w:ind/>
      </w:pPr>
      <w:tblPr>
        <w:tblBorders/>
      </w:tblPr>
      <w:tcPr>
        <w:shd w:val="clear" w:color="auto"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hemeFill="accent1"/>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rFonts w:ascii="Arial" w:hAnsi="Arial"/>
        <w:b/>
        <w:color w:val="ffffff"/>
        <w:sz w:val="22"/>
      </w:rPr>
      <w:pPr>
        <w:pBdr/>
        <w:spacing/>
        <w:ind/>
      </w:pPr>
      <w:tblPr>
        <w:tblBorders/>
      </w:tblPr>
      <w:tcPr>
        <w:shd w:val="clear" w:color="auto" w:fill="4f81bd" w:themeFill="accent1"/>
        <w:tcBorders/>
      </w:tcPr>
    </w:tblStylePr>
    <w:tblStylePr w:type="lastRow">
      <w:rPr>
        <w:rFonts w:ascii="Arial" w:hAnsi="Arial"/>
        <w:b/>
        <w:color w:val="ffffff"/>
        <w:sz w:val="22"/>
      </w:rPr>
      <w:pPr>
        <w:pBdr/>
        <w:spacing/>
        <w:ind/>
      </w:pPr>
      <w:tblPr>
        <w:tblBorders/>
      </w:tblPr>
      <w:tcPr>
        <w:shd w:val="clear" w:color="auto"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Grid Table 5 Dark - Accent 21"/>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hemeFill="accent2" w:themeFillTint="32"/>
    </w:tblPr>
    <w:tcPr>
      <w:tcBorders/>
    </w:tcPr>
    <w:tblStylePr w:type="band1Horz">
      <w:pPr>
        <w:pBdr/>
        <w:spacing/>
        <w:ind/>
      </w:pPr>
      <w:tblPr>
        <w:tblBorders/>
      </w:tblPr>
      <w:tcPr>
        <w:shd w:val="clear" w:color="auto" w:fill="e2aead" w:themeFill="accent2" w:themeFillTint="75"/>
        <w:tcBorders/>
      </w:tcPr>
    </w:tblStylePr>
    <w:tblStylePr w:type="band1Vert">
      <w:pPr>
        <w:pBdr/>
        <w:spacing/>
        <w:ind/>
      </w:pPr>
      <w:tblPr>
        <w:tblBorders/>
      </w:tblPr>
      <w:tcPr>
        <w:shd w:val="clear" w:color="auto"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hemeFill="accent2"/>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rFonts w:ascii="Arial" w:hAnsi="Arial"/>
        <w:b/>
        <w:color w:val="ffffff"/>
        <w:sz w:val="22"/>
      </w:rPr>
      <w:pPr>
        <w:pBdr/>
        <w:spacing/>
        <w:ind/>
      </w:pPr>
      <w:tblPr>
        <w:tblBorders/>
      </w:tblPr>
      <w:tcPr>
        <w:shd w:val="clear" w:color="auto" w:fill="c0504d" w:themeFill="accent2"/>
        <w:tcBorders/>
      </w:tcPr>
    </w:tblStylePr>
    <w:tblStylePr w:type="lastRow">
      <w:rPr>
        <w:rFonts w:ascii="Arial" w:hAnsi="Arial"/>
        <w:b/>
        <w:color w:val="ffffff"/>
        <w:sz w:val="22"/>
      </w:rPr>
      <w:pPr>
        <w:pBdr/>
        <w:spacing/>
        <w:ind/>
      </w:pPr>
      <w:tblPr>
        <w:tblBorders/>
      </w:tblPr>
      <w:tcPr>
        <w:shd w:val="clear" w:color="auto"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Grid Table 5 Dark - Accent 31"/>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hemeFill="accent3" w:themeFillTint="34"/>
    </w:tblPr>
    <w:tcPr>
      <w:tcBorders/>
    </w:tcPr>
    <w:tblStylePr w:type="band1Horz">
      <w:pPr>
        <w:pBdr/>
        <w:spacing/>
        <w:ind/>
      </w:pPr>
      <w:tblPr>
        <w:tblBorders/>
      </w:tblPr>
      <w:tcPr>
        <w:shd w:val="clear" w:color="auto" w:fill="d0dfb2" w:themeFill="accent3" w:themeFillTint="75"/>
        <w:tcBorders/>
      </w:tcPr>
    </w:tblStylePr>
    <w:tblStylePr w:type="band1Vert">
      <w:pPr>
        <w:pBdr/>
        <w:spacing/>
        <w:ind/>
      </w:pPr>
      <w:tblPr>
        <w:tblBorders/>
      </w:tblPr>
      <w:tcPr>
        <w:shd w:val="clear" w:color="auto"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hemeFill="accent3"/>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rFonts w:ascii="Arial" w:hAnsi="Arial"/>
        <w:b/>
        <w:color w:val="ffffff"/>
        <w:sz w:val="22"/>
      </w:rPr>
      <w:pPr>
        <w:pBdr/>
        <w:spacing/>
        <w:ind/>
      </w:pPr>
      <w:tblPr>
        <w:tblBorders/>
      </w:tblPr>
      <w:tcPr>
        <w:shd w:val="clear" w:color="auto" w:fill="9bbb59" w:themeFill="accent3"/>
        <w:tcBorders/>
      </w:tcPr>
    </w:tblStylePr>
    <w:tblStylePr w:type="lastRow">
      <w:rPr>
        <w:rFonts w:ascii="Arial" w:hAnsi="Arial"/>
        <w:b/>
        <w:color w:val="ffffff"/>
        <w:sz w:val="22"/>
      </w:rPr>
      <w:pPr>
        <w:pBdr/>
        <w:spacing/>
        <w:ind/>
      </w:pPr>
      <w:tblPr>
        <w:tblBorders/>
      </w:tblPr>
      <w:tcPr>
        <w:shd w:val="clear" w:color="auto"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Grid Table 5 Dark- Accent 4"/>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hemeFill="accent4" w:themeFillTint="34"/>
    </w:tblPr>
    <w:tcPr>
      <w:tcBorders/>
    </w:tcPr>
    <w:tblStylePr w:type="band1Horz">
      <w:pPr>
        <w:pBdr/>
        <w:spacing/>
        <w:ind/>
      </w:pPr>
      <w:tblPr>
        <w:tblBorders/>
      </w:tblPr>
      <w:tcPr>
        <w:shd w:val="clear" w:color="auto" w:fill="c4b7d4" w:themeFill="accent4" w:themeFillTint="75"/>
        <w:tcBorders/>
      </w:tcPr>
    </w:tblStylePr>
    <w:tblStylePr w:type="band1Vert">
      <w:pPr>
        <w:pBdr/>
        <w:spacing/>
        <w:ind/>
      </w:pPr>
      <w:tblPr>
        <w:tblBorders/>
      </w:tblPr>
      <w:tcPr>
        <w:shd w:val="clear" w:color="auto"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hemeFill="accent4"/>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rFonts w:ascii="Arial" w:hAnsi="Arial"/>
        <w:b/>
        <w:color w:val="ffffff"/>
        <w:sz w:val="22"/>
      </w:rPr>
      <w:pPr>
        <w:pBdr/>
        <w:spacing/>
        <w:ind/>
      </w:pPr>
      <w:tblPr>
        <w:tblBorders/>
      </w:tblPr>
      <w:tcPr>
        <w:shd w:val="clear" w:color="auto" w:fill="8064a2" w:themeFill="accent4"/>
        <w:tcBorders/>
      </w:tcPr>
    </w:tblStylePr>
    <w:tblStylePr w:type="lastRow">
      <w:rPr>
        <w:rFonts w:ascii="Arial" w:hAnsi="Arial"/>
        <w:b/>
        <w:color w:val="ffffff"/>
        <w:sz w:val="22"/>
      </w:rPr>
      <w:pPr>
        <w:pBdr/>
        <w:spacing/>
        <w:ind/>
      </w:pPr>
      <w:tblPr>
        <w:tblBorders/>
      </w:tblPr>
      <w:tcPr>
        <w:shd w:val="clear" w:color="auto"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Grid Table 5 Dark - Accent 51"/>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hemeFill="accent5" w:themeFillTint="34"/>
    </w:tblPr>
    <w:tcPr>
      <w:tcBorders/>
    </w:tcPr>
    <w:tblStylePr w:type="band1Horz">
      <w:pPr>
        <w:pBdr/>
        <w:spacing/>
        <w:ind/>
      </w:pPr>
      <w:tblPr>
        <w:tblBorders/>
      </w:tblPr>
      <w:tcPr>
        <w:shd w:val="clear" w:color="auto" w:fill="acd8e4" w:themeFill="accent5" w:themeFillTint="75"/>
        <w:tcBorders/>
      </w:tcPr>
    </w:tblStylePr>
    <w:tblStylePr w:type="band1Vert">
      <w:pPr>
        <w:pBdr/>
        <w:spacing/>
        <w:ind/>
      </w:pPr>
      <w:tblPr>
        <w:tblBorders/>
      </w:tblPr>
      <w:tcPr>
        <w:shd w:val="clear" w:color="auto"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hemeFill="accent5"/>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rFonts w:ascii="Arial" w:hAnsi="Arial"/>
        <w:b/>
        <w:color w:val="ffffff"/>
        <w:sz w:val="22"/>
      </w:rPr>
      <w:pPr>
        <w:pBdr/>
        <w:spacing/>
        <w:ind/>
      </w:pPr>
      <w:tblPr>
        <w:tblBorders/>
      </w:tblPr>
      <w:tcPr>
        <w:shd w:val="clear" w:color="auto" w:fill="4bacc6" w:themeFill="accent5"/>
        <w:tcBorders/>
      </w:tcPr>
    </w:tblStylePr>
    <w:tblStylePr w:type="lastRow">
      <w:rPr>
        <w:rFonts w:ascii="Arial" w:hAnsi="Arial"/>
        <w:b/>
        <w:color w:val="ffffff"/>
        <w:sz w:val="22"/>
      </w:rPr>
      <w:pPr>
        <w:pBdr/>
        <w:spacing/>
        <w:ind/>
      </w:pPr>
      <w:tblPr>
        <w:tblBorders/>
      </w:tblPr>
      <w:tcPr>
        <w:shd w:val="clear" w:color="auto"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Grid Table 5 Dark - Accent 61"/>
    <w:basedOn w:val="10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hemeFill="accent6" w:themeFillTint="34"/>
    </w:tblPr>
    <w:tcPr>
      <w:tcBorders/>
    </w:tcPr>
    <w:tblStylePr w:type="band1Horz">
      <w:pPr>
        <w:pBdr/>
        <w:spacing/>
        <w:ind/>
      </w:pPr>
      <w:tblPr>
        <w:tblBorders/>
      </w:tblPr>
      <w:tcPr>
        <w:shd w:val="clear" w:color="auto" w:fill="fbceaa" w:themeFill="accent6" w:themeFillTint="75"/>
        <w:tcBorders/>
      </w:tcPr>
    </w:tblStylePr>
    <w:tblStylePr w:type="band1Vert">
      <w:pPr>
        <w:pBdr/>
        <w:spacing/>
        <w:ind/>
      </w:pPr>
      <w:tblPr>
        <w:tblBorders/>
      </w:tblPr>
      <w:tcPr>
        <w:shd w:val="clear" w:color="auto"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hemeFill="accent6"/>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rFonts w:ascii="Arial" w:hAnsi="Arial"/>
        <w:b/>
        <w:color w:val="ffffff"/>
        <w:sz w:val="22"/>
      </w:rPr>
      <w:pPr>
        <w:pBdr/>
        <w:spacing/>
        <w:ind/>
      </w:pPr>
      <w:tblPr>
        <w:tblBorders/>
      </w:tblPr>
      <w:tcPr>
        <w:shd w:val="clear" w:color="auto" w:fill="f79646" w:themeFill="accent6"/>
        <w:tcBorders/>
      </w:tcPr>
    </w:tblStylePr>
    <w:tblStylePr w:type="lastRow">
      <w:rPr>
        <w:rFonts w:ascii="Arial" w:hAnsi="Arial"/>
        <w:b/>
        <w:color w:val="ffffff"/>
        <w:sz w:val="22"/>
      </w:rPr>
      <w:pPr>
        <w:pBdr/>
        <w:spacing/>
        <w:ind/>
      </w:pPr>
      <w:tblPr>
        <w:tblBorders/>
      </w:tblPr>
      <w:tcPr>
        <w:shd w:val="clear" w:color="auto"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Grid Table 6 Colorful1"/>
    <w:basedOn w:val="1001"/>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cbcbcb" w:themeFill="text1" w:themeFillTint="34"/>
        <w:tcBorders/>
      </w:tcPr>
    </w:tblStylePr>
    <w:tblStylePr w:type="band1Vert">
      <w:pPr>
        <w:pBdr/>
        <w:spacing/>
        <w:ind/>
      </w:pPr>
      <w:tblPr>
        <w:tblBorders/>
      </w:tblPr>
      <w:tcPr>
        <w:shd w:val="clear" w:color="auto"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Grid Table 6 Colorful - Accent 11"/>
    <w:basedOn w:val="1001"/>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Grid Table 6 Colorful - Accent 21"/>
    <w:basedOn w:val="1001"/>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Grid Table 6 Colorful - Accent 31"/>
    <w:basedOn w:val="1001"/>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Grid Table 6 Colorful - Accent 41"/>
    <w:basedOn w:val="1001"/>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customStyle="1">
    <w:name w:val="Grid Table 6 Colorful - Accent 51"/>
    <w:basedOn w:val="1001"/>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Grid Table 6 Colorful - Accent 61"/>
    <w:basedOn w:val="1001"/>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Grid Table 7 Colorful1"/>
    <w:basedOn w:val="1001"/>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f2f2f2" w:themeFill="text1" w:themeFillTint="0D"/>
        <w:tcBorders/>
      </w:tcPr>
    </w:tblStylePr>
    <w:tblStylePr w:type="band1Vert">
      <w:pPr>
        <w:pBdr/>
        <w:spacing/>
        <w:ind/>
      </w:pPr>
      <w:tblPr>
        <w:tblBorders/>
      </w:tblPr>
      <w:tcPr>
        <w:shd w:val="clear" w:color="auto"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Grid Table 7 Colorful - Accent 11"/>
    <w:basedOn w:val="1001"/>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auto" w:fill="dae5f1" w:themeFill="accent1" w:themeFillTint="34"/>
        <w:tcBorders/>
      </w:tcPr>
    </w:tblStylePr>
    <w:tblStylePr w:type="band1Vert">
      <w:pPr>
        <w:pBdr/>
        <w:spacing/>
        <w:ind/>
      </w:pPr>
      <w:tblPr>
        <w:tblBorders/>
      </w:tblPr>
      <w:tcPr>
        <w:shd w:val="clear" w:color="auto"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Grid Table 7 Colorful - Accent 21"/>
    <w:basedOn w:val="1001"/>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f2dcdc" w:themeFill="accent2" w:themeFillTint="32"/>
        <w:tcBorders/>
      </w:tcPr>
    </w:tblStylePr>
    <w:tblStylePr w:type="band1Vert">
      <w:pPr>
        <w:pBdr/>
        <w:spacing/>
        <w:ind/>
      </w:pPr>
      <w:tblPr>
        <w:tblBorders/>
      </w:tblPr>
      <w:tcPr>
        <w:shd w:val="clear" w:color="auto"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Grid Table 7 Colorful - Accent 31"/>
    <w:basedOn w:val="1001"/>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auto" w:fill="eaf1dc" w:themeFill="accent3" w:themeFillTint="34"/>
        <w:tcBorders/>
      </w:tcPr>
    </w:tblStylePr>
    <w:tblStylePr w:type="band1Vert">
      <w:pPr>
        <w:pBdr/>
        <w:spacing/>
        <w:ind/>
      </w:pPr>
      <w:tblPr>
        <w:tblBorders/>
      </w:tblPr>
      <w:tcPr>
        <w:shd w:val="clear" w:color="auto"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Grid Table 7 Colorful - Accent 41"/>
    <w:basedOn w:val="1001"/>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e5dfec" w:themeFill="accent4" w:themeFillTint="34"/>
        <w:tcBorders/>
      </w:tcPr>
    </w:tblStylePr>
    <w:tblStylePr w:type="band1Vert">
      <w:pPr>
        <w:pBdr/>
        <w:spacing/>
        <w:ind/>
      </w:pPr>
      <w:tblPr>
        <w:tblBorders/>
      </w:tblPr>
      <w:tcPr>
        <w:shd w:val="clear" w:color="auto"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customStyle="1">
    <w:name w:val="Grid Table 7 Colorful - Accent 51"/>
    <w:basedOn w:val="1001"/>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auto" w:fill="daeef3" w:themeFill="accent5" w:themeFillTint="34"/>
        <w:tcBorders/>
      </w:tcPr>
    </w:tblStylePr>
    <w:tblStylePr w:type="band1Vert">
      <w:pPr>
        <w:pBdr/>
        <w:spacing/>
        <w:ind/>
      </w:pPr>
      <w:tblPr>
        <w:tblBorders/>
      </w:tblPr>
      <w:tcPr>
        <w:shd w:val="clear" w:color="auto"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auto"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Grid Table 7 Colorful - Accent 61"/>
    <w:basedOn w:val="1001"/>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auto" w:fill="fde9d8" w:themeFill="accent6" w:themeFillTint="34"/>
        <w:tcBorders/>
      </w:tcPr>
    </w:tblStylePr>
    <w:tblStylePr w:type="band1Vert">
      <w:pPr>
        <w:pBdr/>
        <w:spacing/>
        <w:ind/>
      </w:pPr>
      <w:tblPr>
        <w:tblBorders/>
      </w:tblPr>
      <w:tcPr>
        <w:shd w:val="clear" w:color="auto"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auto"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1 Light1"/>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1 Light - Accent 11"/>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1 Light - Accent 21"/>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1 Light - Accent 31"/>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List Table 1 Light - Accent 41"/>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st Table 1 Light - Accent 51"/>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List Table 1 Light - Accent 61"/>
    <w:basedOn w:val="1001"/>
    <w:uiPriority w:val="99"/>
    <w:pPr>
      <w:pBdr/>
      <w:spacing/>
      <w:ind/>
    </w:pPr>
    <w:tblPr>
      <w:tblStyleRowBandSize w:val="1"/>
      <w:tblStyleColBandSize w:val="1"/>
      <w:tblBorders/>
    </w:tblPr>
    <w:tcPr>
      <w:tcBorders/>
    </w:tcPr>
    <w:tblStylePr w:type="band1Horz">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st Table 21"/>
    <w:basedOn w:val="1001"/>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st Table 2 - Accent 11"/>
    <w:basedOn w:val="1001"/>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st Table 2 - Accent 21"/>
    <w:basedOn w:val="1001"/>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st Table 2 - Accent 31"/>
    <w:basedOn w:val="1001"/>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List Table 2 - Accent 41"/>
    <w:basedOn w:val="1001"/>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List Table 2 - Accent 51"/>
    <w:basedOn w:val="1001"/>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List Table 2 - Accent 61"/>
    <w:basedOn w:val="1001"/>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List Table 31"/>
    <w:basedOn w:val="100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List Table 3 - Accent 11"/>
    <w:basedOn w:val="1001"/>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List Table 3 - Accent 21"/>
    <w:basedOn w:val="1001"/>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List Table 3 - Accent 31"/>
    <w:basedOn w:val="1001"/>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List Table 3 - Accent 41"/>
    <w:basedOn w:val="1001"/>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List Table 3 - Accent 51"/>
    <w:basedOn w:val="1001"/>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List Table 3 - Accent 61"/>
    <w:basedOn w:val="1001"/>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List Table 41"/>
    <w:basedOn w:val="100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bfbfbf" w:themeFill="text1" w:themeFillTint="40"/>
        <w:tcBorders/>
      </w:tcPr>
    </w:tblStylePr>
    <w:tblStylePr w:type="band1Vert">
      <w:rPr>
        <w:rFonts w:ascii="Arial" w:hAnsi="Arial"/>
        <w:color w:val="404040"/>
        <w:sz w:val="22"/>
      </w:rPr>
      <w:pPr>
        <w:pBdr/>
        <w:spacing/>
        <w:ind/>
      </w:pPr>
      <w:tblPr>
        <w:tblBorders/>
      </w:tblPr>
      <w:tcPr>
        <w:shd w:val="clear" w:color="auto"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List Table 4 - Accent 11"/>
    <w:basedOn w:val="1001"/>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auto" w:fill="d2dfee" w:themeFill="accent1" w:themeFillTint="40"/>
        <w:tcBorders/>
      </w:tcPr>
    </w:tblStylePr>
    <w:tblStylePr w:type="band1Vert">
      <w:rPr>
        <w:rFonts w:ascii="Arial" w:hAnsi="Arial"/>
        <w:color w:val="404040"/>
        <w:sz w:val="22"/>
      </w:rPr>
      <w:pPr>
        <w:pBdr/>
        <w:spacing/>
        <w:ind/>
      </w:pPr>
      <w:tblPr>
        <w:tblBorders/>
      </w:tblPr>
      <w:tcPr>
        <w:shd w:val="clear" w:color="auto"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List Table 4 - Accent 21"/>
    <w:basedOn w:val="1001"/>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auto" w:fill="efd2d2" w:themeFill="accent2" w:themeFillTint="40"/>
        <w:tcBorders/>
      </w:tcPr>
    </w:tblStylePr>
    <w:tblStylePr w:type="band1Vert">
      <w:rPr>
        <w:rFonts w:ascii="Arial" w:hAnsi="Arial"/>
        <w:color w:val="404040"/>
        <w:sz w:val="22"/>
      </w:rPr>
      <w:pPr>
        <w:pBdr/>
        <w:spacing/>
        <w:ind/>
      </w:pPr>
      <w:tblPr>
        <w:tblBorders/>
      </w:tblPr>
      <w:tcPr>
        <w:shd w:val="clear" w:color="auto"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List Table 4 - Accent 31"/>
    <w:basedOn w:val="1001"/>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auto" w:fill="e5eed5" w:themeFill="accent3" w:themeFillTint="40"/>
        <w:tcBorders/>
      </w:tcPr>
    </w:tblStylePr>
    <w:tblStylePr w:type="band1Vert">
      <w:rPr>
        <w:rFonts w:ascii="Arial" w:hAnsi="Arial"/>
        <w:color w:val="404040"/>
        <w:sz w:val="22"/>
      </w:rPr>
      <w:pPr>
        <w:pBdr/>
        <w:spacing/>
        <w:ind/>
      </w:pPr>
      <w:tblPr>
        <w:tblBorders/>
      </w:tblPr>
      <w:tcPr>
        <w:shd w:val="clear" w:color="auto"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customStyle="1">
    <w:name w:val="List Table 4 - Accent 41"/>
    <w:basedOn w:val="1001"/>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auto" w:fill="dfd8e7" w:themeFill="accent4" w:themeFillTint="40"/>
        <w:tcBorders/>
      </w:tcPr>
    </w:tblStylePr>
    <w:tblStylePr w:type="band1Vert">
      <w:rPr>
        <w:rFonts w:ascii="Arial" w:hAnsi="Arial"/>
        <w:color w:val="404040"/>
        <w:sz w:val="22"/>
      </w:rPr>
      <w:pPr>
        <w:pBdr/>
        <w:spacing/>
        <w:ind/>
      </w:pPr>
      <w:tblPr>
        <w:tblBorders/>
      </w:tblPr>
      <w:tcPr>
        <w:shd w:val="clear" w:color="auto"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customStyle="1">
    <w:name w:val="List Table 4 - Accent 51"/>
    <w:basedOn w:val="1001"/>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auto" w:fill="d1eaf0" w:themeFill="accent5" w:themeFillTint="40"/>
        <w:tcBorders/>
      </w:tcPr>
    </w:tblStylePr>
    <w:tblStylePr w:type="band1Vert">
      <w:rPr>
        <w:rFonts w:ascii="Arial" w:hAnsi="Arial"/>
        <w:color w:val="404040"/>
        <w:sz w:val="22"/>
      </w:rPr>
      <w:pPr>
        <w:pBdr/>
        <w:spacing/>
        <w:ind/>
      </w:pPr>
      <w:tblPr>
        <w:tblBorders/>
      </w:tblPr>
      <w:tcPr>
        <w:shd w:val="clear" w:color="auto"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customStyle="1">
    <w:name w:val="List Table 4 - Accent 61"/>
    <w:basedOn w:val="1001"/>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de4d0" w:themeFill="accent6" w:themeFillTint="40"/>
        <w:tcBorders/>
      </w:tcPr>
    </w:tblStylePr>
    <w:tblStylePr w:type="band1Vert">
      <w:rPr>
        <w:rFonts w:ascii="Arial" w:hAnsi="Arial"/>
        <w:color w:val="404040"/>
        <w:sz w:val="22"/>
      </w:rPr>
      <w:pPr>
        <w:pBdr/>
        <w:spacing/>
        <w:ind/>
      </w:pPr>
      <w:tblPr>
        <w:tblBorders/>
      </w:tblPr>
      <w:tcPr>
        <w:shd w:val="clear" w:color="auto"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customStyle="1">
    <w:name w:val="List Table 5 Dark1"/>
    <w:basedOn w:val="1001"/>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cPr>
      <w:tcBorders/>
    </w:tcPr>
    <w:tblStylePr w:type="band1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customStyle="1">
    <w:name w:val="List Table 5 Dark - Accent 11"/>
    <w:basedOn w:val="1001"/>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hemeFill="accent1"/>
    </w:tblPr>
    <w:tcPr>
      <w:tcBorders/>
    </w:tcPr>
    <w:tblStylePr w:type="band1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customStyle="1">
    <w:name w:val="List Table 5 Dark - Accent 21"/>
    <w:basedOn w:val="1001"/>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hemeFill="accent2" w:themeFillTint="97"/>
    </w:tblPr>
    <w:tcPr>
      <w:tcBorders/>
    </w:tcPr>
    <w:tblStylePr w:type="band1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customStyle="1">
    <w:name w:val="List Table 5 Dark - Accent 31"/>
    <w:basedOn w:val="1001"/>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hemeFill="accent3" w:themeFillTint="98"/>
    </w:tblPr>
    <w:tcPr>
      <w:tcBorders/>
    </w:tcPr>
    <w:tblStylePr w:type="band1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customStyle="1">
    <w:name w:val="List Table 5 Dark - Accent 41"/>
    <w:basedOn w:val="1001"/>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hemeFill="accent4" w:themeFillTint="9A"/>
    </w:tblPr>
    <w:tcPr>
      <w:tcBorders/>
    </w:tcPr>
    <w:tblStylePr w:type="band1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customStyle="1">
    <w:name w:val="List Table 5 Dark - Accent 51"/>
    <w:basedOn w:val="1001"/>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hemeFill="accent5" w:themeFillTint="9A"/>
    </w:tblPr>
    <w:tcPr>
      <w:tcBorders/>
    </w:tcPr>
    <w:tblStylePr w:type="band1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customStyle="1">
    <w:name w:val="List Table 5 Dark - Accent 61"/>
    <w:basedOn w:val="1001"/>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hemeFill="accent6" w:themeFillTint="98"/>
    </w:tblPr>
    <w:tcPr>
      <w:tcBorders/>
    </w:tcPr>
    <w:tblStylePr w:type="band1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customStyle="1">
    <w:name w:val="List Table 6 Colorful1"/>
    <w:basedOn w:val="1001"/>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customStyle="1">
    <w:name w:val="List Table 6 Colorful - Accent 11"/>
    <w:basedOn w:val="1001"/>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customStyle="1">
    <w:name w:val="List Table 6 Colorful - Accent 21"/>
    <w:basedOn w:val="1001"/>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customStyle="1">
    <w:name w:val="List Table 6 Colorful - Accent 31"/>
    <w:basedOn w:val="1001"/>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7" w:customStyle="1">
    <w:name w:val="List Table 6 Colorful - Accent 41"/>
    <w:basedOn w:val="1001"/>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8" w:customStyle="1">
    <w:name w:val="List Table 6 Colorful - Accent 51"/>
    <w:basedOn w:val="1001"/>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9" w:customStyle="1">
    <w:name w:val="List Table 6 Colorful - Accent 61"/>
    <w:basedOn w:val="1001"/>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0" w:customStyle="1">
    <w:name w:val="List Table 7 Colorful1"/>
    <w:basedOn w:val="1001"/>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auto" w:fill="bfbfbf" w:themeFill="text1" w:themeFillTint="40"/>
        <w:tcBorders/>
      </w:tcPr>
    </w:tblStylePr>
    <w:tblStylePr w:type="band1Vert">
      <w:pPr>
        <w:pBdr/>
        <w:spacing/>
        <w:ind/>
      </w:pPr>
      <w:tblPr>
        <w:tblBorders/>
      </w:tblPr>
      <w:tcPr>
        <w:shd w:val="clear" w:color="auto"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1" w:customStyle="1">
    <w:name w:val="List Table 7 Colorful - Accent 11"/>
    <w:basedOn w:val="1001"/>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auto" w:fill="d2dfee" w:themeFill="accent1" w:themeFillTint="40"/>
        <w:tcBorders/>
      </w:tcPr>
    </w:tblStylePr>
    <w:tblStylePr w:type="band1Vert">
      <w:pPr>
        <w:pBdr/>
        <w:spacing/>
        <w:ind/>
      </w:pPr>
      <w:tblPr>
        <w:tblBorders/>
      </w:tblPr>
      <w:tcPr>
        <w:shd w:val="clear" w:color="auto"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auto"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customStyle="1">
    <w:name w:val="List Table 7 Colorful - Accent 21"/>
    <w:basedOn w:val="1001"/>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auto" w:fill="efd2d2" w:themeFill="accent2" w:themeFillTint="40"/>
        <w:tcBorders/>
      </w:tcPr>
    </w:tblStylePr>
    <w:tblStylePr w:type="band1Vert">
      <w:pPr>
        <w:pBdr/>
        <w:spacing/>
        <w:ind/>
      </w:pPr>
      <w:tblPr>
        <w:tblBorders/>
      </w:tblPr>
      <w:tcPr>
        <w:shd w:val="clear" w:color="auto"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customStyle="1">
    <w:name w:val="List Table 7 Colorful - Accent 31"/>
    <w:basedOn w:val="1001"/>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auto" w:fill="e5eed5" w:themeFill="accent3" w:themeFillTint="40"/>
        <w:tcBorders/>
      </w:tcPr>
    </w:tblStylePr>
    <w:tblStylePr w:type="band1Vert">
      <w:pPr>
        <w:pBdr/>
        <w:spacing/>
        <w:ind/>
      </w:pPr>
      <w:tblPr>
        <w:tblBorders/>
      </w:tblPr>
      <w:tcPr>
        <w:shd w:val="clear" w:color="auto"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customStyle="1">
    <w:name w:val="List Table 7 Colorful - Accent 41"/>
    <w:basedOn w:val="1001"/>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auto" w:fill="dfd8e7" w:themeFill="accent4" w:themeFillTint="40"/>
        <w:tcBorders/>
      </w:tcPr>
    </w:tblStylePr>
    <w:tblStylePr w:type="band1Vert">
      <w:pPr>
        <w:pBdr/>
        <w:spacing/>
        <w:ind/>
      </w:pPr>
      <w:tblPr>
        <w:tblBorders/>
      </w:tblPr>
      <w:tcPr>
        <w:shd w:val="clear" w:color="auto"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customStyle="1">
    <w:name w:val="List Table 7 Colorful - Accent 51"/>
    <w:basedOn w:val="1001"/>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auto" w:fill="d1eaf0" w:themeFill="accent5" w:themeFillTint="40"/>
        <w:tcBorders/>
      </w:tcPr>
    </w:tblStylePr>
    <w:tblStylePr w:type="band1Vert">
      <w:pPr>
        <w:pBdr/>
        <w:spacing/>
        <w:ind/>
      </w:pPr>
      <w:tblPr>
        <w:tblBorders/>
      </w:tblPr>
      <w:tcPr>
        <w:shd w:val="clear" w:color="auto"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customStyle="1">
    <w:name w:val="List Table 7 Colorful - Accent 61"/>
    <w:basedOn w:val="1001"/>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auto" w:fill="fde4d0" w:themeFill="accent6" w:themeFillTint="40"/>
        <w:tcBorders/>
      </w:tcPr>
    </w:tblStylePr>
    <w:tblStylePr w:type="band1Vert">
      <w:pPr>
        <w:pBdr/>
        <w:spacing/>
        <w:ind/>
      </w:pPr>
      <w:tblPr>
        <w:tblBorders/>
      </w:tblPr>
      <w:tcPr>
        <w:shd w:val="clear" w:color="auto"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customStyle="1">
    <w:name w:val="Lined - Accent"/>
    <w:basedOn w:val="1001"/>
    <w:uiPriority w:val="99"/>
    <w:pPr>
      <w:pBdr/>
      <w:spacing/>
      <w:ind/>
    </w:pPr>
    <w:rPr>
      <w:color w:val="40404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customStyle="1">
    <w:name w:val="Lined - Accent 1"/>
    <w:basedOn w:val="1001"/>
    <w:uiPriority w:val="99"/>
    <w:pPr>
      <w:pBdr/>
      <w:spacing/>
      <w:ind/>
    </w:pPr>
    <w:rPr>
      <w:color w:val="40404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customStyle="1">
    <w:name w:val="Lined - Accent 2"/>
    <w:basedOn w:val="1001"/>
    <w:uiPriority w:val="99"/>
    <w:pPr>
      <w:pBdr/>
      <w:spacing/>
      <w:ind/>
    </w:pPr>
    <w:rPr>
      <w:color w:val="40404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customStyle="1">
    <w:name w:val="Lined - Accent 3"/>
    <w:basedOn w:val="1001"/>
    <w:uiPriority w:val="99"/>
    <w:pPr>
      <w:pBdr/>
      <w:spacing/>
      <w:ind/>
    </w:pPr>
    <w:rPr>
      <w:color w:val="40404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1" w:customStyle="1">
    <w:name w:val="Lined - Accent 4"/>
    <w:basedOn w:val="1001"/>
    <w:uiPriority w:val="99"/>
    <w:pPr>
      <w:pBdr/>
      <w:spacing/>
      <w:ind/>
    </w:pPr>
    <w:rPr>
      <w:color w:val="40404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2" w:customStyle="1">
    <w:name w:val="Lined - Accent 5"/>
    <w:basedOn w:val="1001"/>
    <w:uiPriority w:val="99"/>
    <w:pPr>
      <w:pBdr/>
      <w:spacing/>
      <w:ind/>
    </w:pPr>
    <w:rPr>
      <w:color w:val="40404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3" w:customStyle="1">
    <w:name w:val="Lined - Accent 6"/>
    <w:basedOn w:val="1001"/>
    <w:uiPriority w:val="99"/>
    <w:pPr>
      <w:pBdr/>
      <w:spacing/>
      <w:ind/>
    </w:pPr>
    <w:rPr>
      <w:color w:val="40404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4" w:customStyle="1">
    <w:name w:val="Bordered &amp; Lined - Accent"/>
    <w:basedOn w:val="1001"/>
    <w:uiPriority w:val="99"/>
    <w:pPr>
      <w:pBdr/>
      <w:spacing/>
      <w:ind/>
    </w:pPr>
    <w:rPr>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hemeFill="text1" w:themeFillTint="0D"/>
        <w:tcBorders/>
      </w:tcPr>
    </w:tblStylePr>
    <w:tblStylePr w:type="band2Vert">
      <w:rPr>
        <w:rFonts w:ascii="Arial" w:hAnsi="Arial"/>
        <w:color w:val="404040"/>
        <w:sz w:val="22"/>
      </w:rPr>
      <w:pPr>
        <w:pBdr/>
        <w:spacing/>
        <w:ind/>
      </w:pPr>
      <w:tblPr>
        <w:tblBorders/>
      </w:tblPr>
      <w:tcPr>
        <w:shd w:val="clear" w:color="auto" w:fill="f2f2f2" w:themeFill="text1" w:themeFillTint="0D"/>
        <w:tcBorders/>
      </w:tcPr>
    </w:tblStylePr>
    <w:tblStylePr w:type="firstCol">
      <w:rPr>
        <w:rFonts w:ascii="Arial" w:hAnsi="Arial"/>
        <w:color w:val="f2f2f2"/>
        <w:sz w:val="22"/>
      </w:rPr>
      <w:pPr>
        <w:pBdr/>
        <w:spacing/>
        <w:ind/>
      </w:pPr>
      <w:tblPr>
        <w:tblBorders/>
      </w:tblPr>
      <w:tcPr>
        <w:shd w:val="clear" w:color="auto" w:fill="7f7f7f" w:themeFill="text1" w:themeFillTint="80"/>
        <w:tcBorders/>
      </w:tcPr>
    </w:tblStylePr>
    <w:tblStylePr w:type="firstRow">
      <w:rPr>
        <w:rFonts w:ascii="Arial" w:hAnsi="Arial"/>
        <w:color w:val="f2f2f2"/>
        <w:sz w:val="22"/>
      </w:rPr>
      <w:pPr>
        <w:pBdr/>
        <w:spacing/>
        <w:ind/>
      </w:pPr>
      <w:tblPr>
        <w:tblBorders/>
      </w:tblPr>
      <w:tcPr>
        <w:shd w:val="clear" w:color="auto" w:fill="7f7f7f" w:themeFill="text1" w:themeFillTint="80"/>
        <w:tcBorders/>
      </w:tcPr>
    </w:tblStylePr>
    <w:tblStylePr w:type="lastCol">
      <w:rPr>
        <w:rFonts w:ascii="Arial" w:hAnsi="Arial"/>
        <w:color w:val="f2f2f2"/>
        <w:sz w:val="22"/>
      </w:rPr>
      <w:pPr>
        <w:pBdr/>
        <w:spacing/>
        <w:ind/>
      </w:pPr>
      <w:tblPr>
        <w:tblBorders/>
      </w:tblPr>
      <w:tcPr>
        <w:shd w:val="clear" w:color="auto" w:fill="7f7f7f" w:themeFill="text1" w:themeFillTint="80"/>
        <w:tcBorders/>
      </w:tcPr>
    </w:tblStylePr>
    <w:tblStylePr w:type="lastRow">
      <w:rPr>
        <w:rFonts w:ascii="Arial" w:hAnsi="Arial"/>
        <w:color w:val="f2f2f2"/>
        <w:sz w:val="22"/>
      </w:rPr>
      <w:pPr>
        <w:pBdr/>
        <w:spacing/>
        <w:ind/>
      </w:pPr>
      <w:tblPr>
        <w:tblBorders/>
      </w:tblPr>
      <w:tcPr>
        <w:shd w:val="clear" w:color="auto"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5" w:customStyle="1">
    <w:name w:val="Bordered &amp; Lined - Accent 1"/>
    <w:basedOn w:val="1001"/>
    <w:uiPriority w:val="99"/>
    <w:pPr>
      <w:pBdr/>
      <w:spacing/>
      <w:ind/>
    </w:pPr>
    <w:rPr>
      <w:color w:val="40404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7d7ea" w:themeFill="accent1" w:themeFillTint="50"/>
        <w:tcBorders/>
      </w:tcPr>
    </w:tblStylePr>
    <w:tblStylePr w:type="band2Vert">
      <w:rPr>
        <w:rFonts w:ascii="Arial" w:hAnsi="Arial"/>
        <w:color w:val="404040"/>
        <w:sz w:val="22"/>
      </w:rPr>
      <w:pPr>
        <w:pBdr/>
        <w:spacing/>
        <w:ind/>
      </w:pPr>
      <w:tblPr>
        <w:tblBorders/>
      </w:tblPr>
      <w:tcPr>
        <w:shd w:val="clear" w:color="auto" w:fill="c7d7ea" w:themeFill="accent1" w:themeFillTint="50"/>
        <w:tcBorders/>
      </w:tcPr>
    </w:tblStylePr>
    <w:tblStylePr w:type="firstCol">
      <w:rPr>
        <w:rFonts w:ascii="Arial" w:hAnsi="Arial"/>
        <w:color w:val="f2f2f2"/>
        <w:sz w:val="22"/>
      </w:rPr>
      <w:pPr>
        <w:pBdr/>
        <w:spacing/>
        <w:ind/>
      </w:pPr>
      <w:tblPr>
        <w:tblBorders/>
      </w:tblPr>
      <w:tcPr>
        <w:shd w:val="clear" w:color="auto" w:fill="5d8ac2" w:themeFill="accent1" w:themeFillTint="EA"/>
        <w:tcBorders/>
      </w:tcPr>
    </w:tblStylePr>
    <w:tblStylePr w:type="firstRow">
      <w:rPr>
        <w:rFonts w:ascii="Arial" w:hAnsi="Arial"/>
        <w:color w:val="f2f2f2"/>
        <w:sz w:val="22"/>
      </w:rPr>
      <w:pPr>
        <w:pBdr/>
        <w:spacing/>
        <w:ind/>
      </w:pPr>
      <w:tblPr>
        <w:tblBorders/>
      </w:tblPr>
      <w:tcPr>
        <w:shd w:val="clear" w:color="auto" w:fill="5d8ac2" w:themeFill="accent1" w:themeFillTint="EA"/>
        <w:tcBorders/>
      </w:tcPr>
    </w:tblStylePr>
    <w:tblStylePr w:type="lastCol">
      <w:rPr>
        <w:rFonts w:ascii="Arial" w:hAnsi="Arial"/>
        <w:color w:val="f2f2f2"/>
        <w:sz w:val="22"/>
      </w:rPr>
      <w:pPr>
        <w:pBdr/>
        <w:spacing/>
        <w:ind/>
      </w:pPr>
      <w:tblPr>
        <w:tblBorders/>
      </w:tblPr>
      <w:tcPr>
        <w:shd w:val="clear" w:color="auto" w:fill="5d8ac2" w:themeFill="accent1" w:themeFillTint="EA"/>
        <w:tcBorders/>
      </w:tcPr>
    </w:tblStylePr>
    <w:tblStylePr w:type="lastRow">
      <w:rPr>
        <w:rFonts w:ascii="Arial" w:hAnsi="Arial"/>
        <w:color w:val="f2f2f2"/>
        <w:sz w:val="22"/>
      </w:rPr>
      <w:pPr>
        <w:pBdr/>
        <w:spacing/>
        <w:ind/>
      </w:pPr>
      <w:tblPr>
        <w:tblBorders/>
      </w:tblPr>
      <w:tcPr>
        <w:shd w:val="clear" w:color="auto"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6" w:customStyle="1">
    <w:name w:val="Bordered &amp; Lined - Accent 2"/>
    <w:basedOn w:val="1001"/>
    <w:uiPriority w:val="99"/>
    <w:pPr>
      <w:pBdr/>
      <w:spacing/>
      <w:ind/>
    </w:pPr>
    <w:rPr>
      <w:color w:val="40404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cdc" w:themeFill="accent2" w:themeFillTint="32"/>
        <w:tcBorders/>
      </w:tcPr>
    </w:tblStylePr>
    <w:tblStylePr w:type="band2Vert">
      <w:rPr>
        <w:rFonts w:ascii="Arial" w:hAnsi="Arial"/>
        <w:color w:val="404040"/>
        <w:sz w:val="22"/>
      </w:rPr>
      <w:pPr>
        <w:pBdr/>
        <w:spacing/>
        <w:ind/>
      </w:pPr>
      <w:tblPr>
        <w:tblBorders/>
      </w:tblPr>
      <w:tcPr>
        <w:shd w:val="clear" w:color="auto" w:fill="f2dcdc" w:themeFill="accent2" w:themeFillTint="32"/>
        <w:tcBorders/>
      </w:tcPr>
    </w:tblStylePr>
    <w:tblStylePr w:type="firstCol">
      <w:rPr>
        <w:rFonts w:ascii="Arial" w:hAnsi="Arial"/>
        <w:color w:val="f2f2f2"/>
        <w:sz w:val="22"/>
      </w:rPr>
      <w:pPr>
        <w:pBdr/>
        <w:spacing/>
        <w:ind/>
      </w:pPr>
      <w:tblPr>
        <w:tblBorders/>
      </w:tblPr>
      <w:tcPr>
        <w:shd w:val="clear" w:color="auto" w:fill="d99695" w:themeFill="accent2" w:themeFillTint="97"/>
        <w:tcBorders/>
      </w:tcPr>
    </w:tblStylePr>
    <w:tblStylePr w:type="firstRow">
      <w:rPr>
        <w:rFonts w:ascii="Arial" w:hAnsi="Arial"/>
        <w:color w:val="f2f2f2"/>
        <w:sz w:val="22"/>
      </w:rPr>
      <w:pPr>
        <w:pBdr/>
        <w:spacing/>
        <w:ind/>
      </w:pPr>
      <w:tblPr>
        <w:tblBorders/>
      </w:tblPr>
      <w:tcPr>
        <w:shd w:val="clear" w:color="auto" w:fill="d99695" w:themeFill="accent2" w:themeFillTint="97"/>
        <w:tcBorders/>
      </w:tcPr>
    </w:tblStylePr>
    <w:tblStylePr w:type="lastCol">
      <w:rPr>
        <w:rFonts w:ascii="Arial" w:hAnsi="Arial"/>
        <w:color w:val="f2f2f2"/>
        <w:sz w:val="22"/>
      </w:rPr>
      <w:pPr>
        <w:pBdr/>
        <w:spacing/>
        <w:ind/>
      </w:pPr>
      <w:tblPr>
        <w:tblBorders/>
      </w:tblPr>
      <w:tcPr>
        <w:shd w:val="clear" w:color="auto" w:fill="d99695" w:themeFill="accent2" w:themeFillTint="97"/>
        <w:tcBorders/>
      </w:tcPr>
    </w:tblStylePr>
    <w:tblStylePr w:type="lastRow">
      <w:rPr>
        <w:rFonts w:ascii="Arial" w:hAnsi="Arial"/>
        <w:color w:val="f2f2f2"/>
        <w:sz w:val="22"/>
      </w:rPr>
      <w:pPr>
        <w:pBdr/>
        <w:spacing/>
        <w:ind/>
      </w:pPr>
      <w:tblPr>
        <w:tblBorders/>
      </w:tblPr>
      <w:tcPr>
        <w:shd w:val="clear" w:color="auto"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7" w:customStyle="1">
    <w:name w:val="Bordered &amp; Lined - Accent 3"/>
    <w:basedOn w:val="1001"/>
    <w:uiPriority w:val="99"/>
    <w:pPr>
      <w:pBdr/>
      <w:spacing/>
      <w:ind/>
    </w:pPr>
    <w:rPr>
      <w:color w:val="40404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c" w:themeFill="accent3" w:themeFillTint="34"/>
        <w:tcBorders/>
      </w:tcPr>
    </w:tblStylePr>
    <w:tblStylePr w:type="band2Vert">
      <w:rPr>
        <w:rFonts w:ascii="Arial" w:hAnsi="Arial"/>
        <w:color w:val="404040"/>
        <w:sz w:val="22"/>
      </w:rPr>
      <w:pPr>
        <w:pBdr/>
        <w:spacing/>
        <w:ind/>
      </w:pPr>
      <w:tblPr>
        <w:tblBorders/>
      </w:tblPr>
      <w:tcPr>
        <w:shd w:val="clear" w:color="auto" w:fill="eaf1dc" w:themeFill="accent3" w:themeFillTint="34"/>
        <w:tcBorders/>
      </w:tcPr>
    </w:tblStylePr>
    <w:tblStylePr w:type="firstCol">
      <w:rPr>
        <w:rFonts w:ascii="Arial" w:hAnsi="Arial"/>
        <w:color w:val="f2f2f2"/>
        <w:sz w:val="22"/>
      </w:rPr>
      <w:pPr>
        <w:pBdr/>
        <w:spacing/>
        <w:ind/>
      </w:pPr>
      <w:tblPr>
        <w:tblBorders/>
      </w:tblPr>
      <w:tcPr>
        <w:shd w:val="clear" w:color="auto" w:fill="9abb59" w:themeFill="accent3" w:themeFillTint="FE"/>
        <w:tcBorders/>
      </w:tcPr>
    </w:tblStylePr>
    <w:tblStylePr w:type="firstRow">
      <w:rPr>
        <w:rFonts w:ascii="Arial" w:hAnsi="Arial"/>
        <w:color w:val="f2f2f2"/>
        <w:sz w:val="22"/>
      </w:rPr>
      <w:pPr>
        <w:pBdr/>
        <w:spacing/>
        <w:ind/>
      </w:pPr>
      <w:tblPr>
        <w:tblBorders/>
      </w:tblPr>
      <w:tcPr>
        <w:shd w:val="clear" w:color="auto" w:fill="9abb59" w:themeFill="accent3" w:themeFillTint="FE"/>
        <w:tcBorders/>
      </w:tcPr>
    </w:tblStylePr>
    <w:tblStylePr w:type="lastCol">
      <w:rPr>
        <w:rFonts w:ascii="Arial" w:hAnsi="Arial"/>
        <w:color w:val="f2f2f2"/>
        <w:sz w:val="22"/>
      </w:rPr>
      <w:pPr>
        <w:pBdr/>
        <w:spacing/>
        <w:ind/>
      </w:pPr>
      <w:tblPr>
        <w:tblBorders/>
      </w:tblPr>
      <w:tcPr>
        <w:shd w:val="clear" w:color="auto" w:fill="9abb59" w:themeFill="accent3" w:themeFillTint="FE"/>
        <w:tcBorders/>
      </w:tcPr>
    </w:tblStylePr>
    <w:tblStylePr w:type="lastRow">
      <w:rPr>
        <w:rFonts w:ascii="Arial" w:hAnsi="Arial"/>
        <w:color w:val="f2f2f2"/>
        <w:sz w:val="22"/>
      </w:rPr>
      <w:pPr>
        <w:pBdr/>
        <w:spacing/>
        <w:ind/>
      </w:pPr>
      <w:tblPr>
        <w:tblBorders/>
      </w:tblPr>
      <w:tcPr>
        <w:shd w:val="clear" w:color="auto"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8" w:customStyle="1">
    <w:name w:val="Bordered &amp; Lined - Accent 4"/>
    <w:basedOn w:val="1001"/>
    <w:uiPriority w:val="99"/>
    <w:pPr>
      <w:pBdr/>
      <w:spacing/>
      <w:ind/>
    </w:pPr>
    <w:rPr>
      <w:color w:val="40404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hemeFill="accent4" w:themeFillTint="34"/>
        <w:tcBorders/>
      </w:tcPr>
    </w:tblStylePr>
    <w:tblStylePr w:type="band2Vert">
      <w:rPr>
        <w:rFonts w:ascii="Arial" w:hAnsi="Arial"/>
        <w:color w:val="404040"/>
        <w:sz w:val="22"/>
      </w:rPr>
      <w:pPr>
        <w:pBdr/>
        <w:spacing/>
        <w:ind/>
      </w:pPr>
      <w:tblPr>
        <w:tblBorders/>
      </w:tblPr>
      <w:tcPr>
        <w:shd w:val="clear" w:color="auto" w:fill="e5dfec" w:themeFill="accent4" w:themeFillTint="34"/>
        <w:tcBorders/>
      </w:tcPr>
    </w:tblStylePr>
    <w:tblStylePr w:type="firstCol">
      <w:rPr>
        <w:rFonts w:ascii="Arial" w:hAnsi="Arial"/>
        <w:color w:val="f2f2f2"/>
        <w:sz w:val="22"/>
      </w:rPr>
      <w:pPr>
        <w:pBdr/>
        <w:spacing/>
        <w:ind/>
      </w:pPr>
      <w:tblPr>
        <w:tblBorders/>
      </w:tblPr>
      <w:tcPr>
        <w:shd w:val="clear" w:color="auto" w:fill="b2a1c6" w:themeFill="accent4" w:themeFillTint="9A"/>
        <w:tcBorders/>
      </w:tcPr>
    </w:tblStylePr>
    <w:tblStylePr w:type="firstRow">
      <w:rPr>
        <w:rFonts w:ascii="Arial" w:hAnsi="Arial"/>
        <w:color w:val="f2f2f2"/>
        <w:sz w:val="22"/>
      </w:rPr>
      <w:pPr>
        <w:pBdr/>
        <w:spacing/>
        <w:ind/>
      </w:pPr>
      <w:tblPr>
        <w:tblBorders/>
      </w:tblPr>
      <w:tcPr>
        <w:shd w:val="clear" w:color="auto" w:fill="b2a1c6" w:themeFill="accent4" w:themeFillTint="9A"/>
        <w:tcBorders/>
      </w:tcPr>
    </w:tblStylePr>
    <w:tblStylePr w:type="lastCol">
      <w:rPr>
        <w:rFonts w:ascii="Arial" w:hAnsi="Arial"/>
        <w:color w:val="f2f2f2"/>
        <w:sz w:val="22"/>
      </w:rPr>
      <w:pPr>
        <w:pBdr/>
        <w:spacing/>
        <w:ind/>
      </w:pPr>
      <w:tblPr>
        <w:tblBorders/>
      </w:tblPr>
      <w:tcPr>
        <w:shd w:val="clear" w:color="auto" w:fill="b2a1c6" w:themeFill="accent4" w:themeFillTint="9A"/>
        <w:tcBorders/>
      </w:tcPr>
    </w:tblStylePr>
    <w:tblStylePr w:type="lastRow">
      <w:rPr>
        <w:rFonts w:ascii="Arial" w:hAnsi="Arial"/>
        <w:color w:val="f2f2f2"/>
        <w:sz w:val="22"/>
      </w:rPr>
      <w:pPr>
        <w:pBdr/>
        <w:spacing/>
        <w:ind/>
      </w:pPr>
      <w:tblPr>
        <w:tblBorders/>
      </w:tblPr>
      <w:tcPr>
        <w:shd w:val="clear" w:color="auto"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9" w:customStyle="1">
    <w:name w:val="Bordered &amp; Lined - Accent 5"/>
    <w:basedOn w:val="1001"/>
    <w:uiPriority w:val="99"/>
    <w:pPr>
      <w:pBdr/>
      <w:spacing/>
      <w:ind/>
    </w:pPr>
    <w:rPr>
      <w:color w:val="40404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hemeFill="accent5" w:themeFillTint="34"/>
        <w:tcBorders/>
      </w:tcPr>
    </w:tblStylePr>
    <w:tblStylePr w:type="band2Vert">
      <w:rPr>
        <w:rFonts w:ascii="Arial" w:hAnsi="Arial"/>
        <w:color w:val="404040"/>
        <w:sz w:val="22"/>
      </w:rPr>
      <w:pPr>
        <w:pBdr/>
        <w:spacing/>
        <w:ind/>
      </w:pPr>
      <w:tblPr>
        <w:tblBorders/>
      </w:tblPr>
      <w:tcPr>
        <w:shd w:val="clear" w:color="auto" w:fill="daeef3" w:themeFill="accent5" w:themeFillTint="34"/>
        <w:tcBorders/>
      </w:tcPr>
    </w:tblStylePr>
    <w:tblStylePr w:type="firstCol">
      <w:rPr>
        <w:rFonts w:ascii="Arial" w:hAnsi="Arial"/>
        <w:color w:val="f2f2f2"/>
        <w:sz w:val="22"/>
      </w:rPr>
      <w:pPr>
        <w:pBdr/>
        <w:spacing/>
        <w:ind/>
      </w:pPr>
      <w:tblPr>
        <w:tblBorders/>
      </w:tblPr>
      <w:tcPr>
        <w:shd w:val="clear" w:color="auto" w:fill="4bacc6" w:themeFill="accent5"/>
        <w:tcBorders/>
      </w:tcPr>
    </w:tblStylePr>
    <w:tblStylePr w:type="firstRow">
      <w:rPr>
        <w:rFonts w:ascii="Arial" w:hAnsi="Arial"/>
        <w:color w:val="f2f2f2"/>
        <w:sz w:val="22"/>
      </w:rPr>
      <w:pPr>
        <w:pBdr/>
        <w:spacing/>
        <w:ind/>
      </w:pPr>
      <w:tblPr>
        <w:tblBorders/>
      </w:tblPr>
      <w:tcPr>
        <w:shd w:val="clear" w:color="auto" w:fill="4bacc6" w:themeFill="accent5"/>
        <w:tcBorders/>
      </w:tcPr>
    </w:tblStylePr>
    <w:tblStylePr w:type="lastCol">
      <w:rPr>
        <w:rFonts w:ascii="Arial" w:hAnsi="Arial"/>
        <w:color w:val="f2f2f2"/>
        <w:sz w:val="22"/>
      </w:rPr>
      <w:pPr>
        <w:pBdr/>
        <w:spacing/>
        <w:ind/>
      </w:pPr>
      <w:tblPr>
        <w:tblBorders/>
      </w:tblPr>
      <w:tcPr>
        <w:shd w:val="clear" w:color="auto" w:fill="4bacc6" w:themeFill="accent5"/>
        <w:tcBorders/>
      </w:tcPr>
    </w:tblStylePr>
    <w:tblStylePr w:type="lastRow">
      <w:rPr>
        <w:rFonts w:ascii="Arial" w:hAnsi="Arial"/>
        <w:color w:val="f2f2f2"/>
        <w:sz w:val="22"/>
      </w:rPr>
      <w:pPr>
        <w:pBdr/>
        <w:spacing/>
        <w:ind/>
      </w:pPr>
      <w:tblPr>
        <w:tblBorders/>
      </w:tblPr>
      <w:tcPr>
        <w:shd w:val="clear" w:color="auto"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customStyle="1">
    <w:name w:val="Bordered &amp; Lined - Accent 6"/>
    <w:basedOn w:val="1001"/>
    <w:uiPriority w:val="99"/>
    <w:pPr>
      <w:pBdr/>
      <w:spacing/>
      <w:ind/>
    </w:pPr>
    <w:rPr>
      <w:color w:val="40404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8" w:themeFill="accent6" w:themeFillTint="34"/>
        <w:tcBorders/>
      </w:tcPr>
    </w:tblStylePr>
    <w:tblStylePr w:type="band2Vert">
      <w:rPr>
        <w:rFonts w:ascii="Arial" w:hAnsi="Arial"/>
        <w:color w:val="404040"/>
        <w:sz w:val="22"/>
      </w:rPr>
      <w:pPr>
        <w:pBdr/>
        <w:spacing/>
        <w:ind/>
      </w:pPr>
      <w:tblPr>
        <w:tblBorders/>
      </w:tblPr>
      <w:tcPr>
        <w:shd w:val="clear" w:color="auto" w:fill="fde9d8" w:themeFill="accent6" w:themeFillTint="34"/>
        <w:tcBorders/>
      </w:tcPr>
    </w:tblStylePr>
    <w:tblStylePr w:type="firstCol">
      <w:rPr>
        <w:rFonts w:ascii="Arial" w:hAnsi="Arial"/>
        <w:color w:val="f2f2f2"/>
        <w:sz w:val="22"/>
      </w:rPr>
      <w:pPr>
        <w:pBdr/>
        <w:spacing/>
        <w:ind/>
      </w:pPr>
      <w:tblPr>
        <w:tblBorders/>
      </w:tblPr>
      <w:tcPr>
        <w:shd w:val="clear" w:color="auto" w:fill="f79646" w:themeFill="accent6"/>
        <w:tcBorders/>
      </w:tcPr>
    </w:tblStylePr>
    <w:tblStylePr w:type="firstRow">
      <w:rPr>
        <w:rFonts w:ascii="Arial" w:hAnsi="Arial"/>
        <w:color w:val="f2f2f2"/>
        <w:sz w:val="22"/>
      </w:rPr>
      <w:pPr>
        <w:pBdr/>
        <w:spacing/>
        <w:ind/>
      </w:pPr>
      <w:tblPr>
        <w:tblBorders/>
      </w:tblPr>
      <w:tcPr>
        <w:shd w:val="clear" w:color="auto" w:fill="f79646" w:themeFill="accent6"/>
        <w:tcBorders/>
      </w:tcPr>
    </w:tblStylePr>
    <w:tblStylePr w:type="lastCol">
      <w:rPr>
        <w:rFonts w:ascii="Arial" w:hAnsi="Arial"/>
        <w:color w:val="f2f2f2"/>
        <w:sz w:val="22"/>
      </w:rPr>
      <w:pPr>
        <w:pBdr/>
        <w:spacing/>
        <w:ind/>
      </w:pPr>
      <w:tblPr>
        <w:tblBorders/>
      </w:tblPr>
      <w:tcPr>
        <w:shd w:val="clear" w:color="auto" w:fill="f79646" w:themeFill="accent6"/>
        <w:tcBorders/>
      </w:tcPr>
    </w:tblStylePr>
    <w:tblStylePr w:type="lastRow">
      <w:rPr>
        <w:rFonts w:ascii="Arial" w:hAnsi="Arial"/>
        <w:color w:val="f2f2f2"/>
        <w:sz w:val="22"/>
      </w:rPr>
      <w:pPr>
        <w:pBdr/>
        <w:spacing/>
        <w:ind/>
      </w:pPr>
      <w:tblPr>
        <w:tblBorders/>
      </w:tblPr>
      <w:tcPr>
        <w:shd w:val="clear" w:color="auto"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1" w:customStyle="1">
    <w:name w:val="Bordered"/>
    <w:basedOn w:val="1001"/>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2" w:customStyle="1">
    <w:name w:val="Bordered - Accent 1"/>
    <w:basedOn w:val="1001"/>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3" w:customStyle="1">
    <w:name w:val="Bordered - Accent 2"/>
    <w:basedOn w:val="1001"/>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4" w:customStyle="1">
    <w:name w:val="Bordered - Accent 3"/>
    <w:basedOn w:val="1001"/>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5" w:customStyle="1">
    <w:name w:val="Bordered - Accent 4"/>
    <w:basedOn w:val="1001"/>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6" w:customStyle="1">
    <w:name w:val="Bordered - Accent 5"/>
    <w:basedOn w:val="1001"/>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7" w:customStyle="1">
    <w:name w:val="Bordered - Accent 6"/>
    <w:basedOn w:val="1001"/>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48">
    <w:name w:val="toc 1"/>
    <w:basedOn w:val="990"/>
    <w:next w:val="990"/>
    <w:uiPriority w:val="39"/>
    <w:unhideWhenUsed/>
    <w:pPr>
      <w:pBdr/>
      <w:spacing w:after="57"/>
      <w:ind/>
    </w:pPr>
  </w:style>
  <w:style w:type="paragraph" w:styleId="1249">
    <w:name w:val="toc 2"/>
    <w:basedOn w:val="990"/>
    <w:next w:val="990"/>
    <w:uiPriority w:val="39"/>
    <w:unhideWhenUsed/>
    <w:pPr>
      <w:pBdr/>
      <w:spacing w:after="57"/>
      <w:ind w:left="283"/>
    </w:pPr>
  </w:style>
  <w:style w:type="paragraph" w:styleId="1250">
    <w:name w:val="toc 3"/>
    <w:basedOn w:val="990"/>
    <w:next w:val="990"/>
    <w:uiPriority w:val="39"/>
    <w:unhideWhenUsed/>
    <w:pPr>
      <w:pBdr/>
      <w:spacing w:after="57"/>
      <w:ind w:left="567"/>
    </w:pPr>
  </w:style>
  <w:style w:type="paragraph" w:styleId="1251">
    <w:name w:val="toc 4"/>
    <w:basedOn w:val="990"/>
    <w:next w:val="990"/>
    <w:uiPriority w:val="39"/>
    <w:unhideWhenUsed/>
    <w:pPr>
      <w:pBdr/>
      <w:spacing w:after="57"/>
      <w:ind w:left="850"/>
    </w:pPr>
  </w:style>
  <w:style w:type="paragraph" w:styleId="1252">
    <w:name w:val="toc 5"/>
    <w:basedOn w:val="990"/>
    <w:next w:val="990"/>
    <w:uiPriority w:val="39"/>
    <w:unhideWhenUsed/>
    <w:pPr>
      <w:pBdr/>
      <w:spacing w:after="57"/>
      <w:ind w:left="1134"/>
    </w:pPr>
  </w:style>
  <w:style w:type="paragraph" w:styleId="1253">
    <w:name w:val="toc 6"/>
    <w:basedOn w:val="990"/>
    <w:next w:val="990"/>
    <w:uiPriority w:val="39"/>
    <w:unhideWhenUsed/>
    <w:pPr>
      <w:pBdr/>
      <w:spacing w:after="57"/>
      <w:ind w:left="1417"/>
    </w:pPr>
  </w:style>
  <w:style w:type="paragraph" w:styleId="1254">
    <w:name w:val="toc 7"/>
    <w:basedOn w:val="990"/>
    <w:next w:val="990"/>
    <w:uiPriority w:val="39"/>
    <w:unhideWhenUsed/>
    <w:pPr>
      <w:pBdr/>
      <w:spacing w:after="57"/>
      <w:ind w:left="1701"/>
    </w:pPr>
  </w:style>
  <w:style w:type="paragraph" w:styleId="1255">
    <w:name w:val="toc 8"/>
    <w:basedOn w:val="990"/>
    <w:next w:val="990"/>
    <w:uiPriority w:val="39"/>
    <w:unhideWhenUsed/>
    <w:pPr>
      <w:pBdr/>
      <w:spacing w:after="57"/>
      <w:ind w:left="1984"/>
    </w:pPr>
  </w:style>
  <w:style w:type="paragraph" w:styleId="1256">
    <w:name w:val="toc 9"/>
    <w:basedOn w:val="990"/>
    <w:next w:val="990"/>
    <w:uiPriority w:val="39"/>
    <w:unhideWhenUsed/>
    <w:pPr>
      <w:pBdr/>
      <w:spacing w:after="57"/>
      <w:ind w:left="2268"/>
    </w:pPr>
  </w:style>
  <w:style w:type="paragraph" w:styleId="1257">
    <w:name w:val="TOC Heading"/>
    <w:uiPriority w:val="39"/>
    <w:unhideWhenUsed/>
    <w:pPr>
      <w:pBdr/>
      <w:spacing/>
      <w:ind/>
    </w:pPr>
  </w:style>
  <w:style w:type="table" w:styleId="1258">
    <w:name w:val="Table Grid"/>
    <w:basedOn w:val="1001"/>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59">
    <w:name w:val="Body Text Indent 3"/>
    <w:basedOn w:val="990"/>
    <w:link w:val="1260"/>
    <w:pPr>
      <w:pBdr/>
      <w:spacing/>
      <w:ind w:firstLine="720"/>
      <w:jc w:val="both"/>
    </w:pPr>
    <w:rPr>
      <w:rFonts w:ascii=".VnTime" w:hAnsi=".VnTime"/>
      <w:sz w:val="28"/>
      <w:szCs w:val="20"/>
    </w:rPr>
  </w:style>
  <w:style w:type="character" w:styleId="1260" w:customStyle="1">
    <w:name w:val="Body Text Indent 3 Char"/>
    <w:basedOn w:val="1000"/>
    <w:link w:val="1259"/>
    <w:pPr>
      <w:pBdr/>
      <w:spacing/>
      <w:ind/>
    </w:pPr>
    <w:rPr>
      <w:rFonts w:ascii=".VnTime" w:hAnsi=".VnTime"/>
      <w:sz w:val="28"/>
    </w:rPr>
  </w:style>
  <w:style w:type="paragraph" w:styleId="1261">
    <w:name w:val="List Paragraph"/>
    <w:basedOn w:val="990"/>
    <w:uiPriority w:val="34"/>
    <w:qFormat/>
    <w:pPr>
      <w:pBdr/>
      <w:spacing/>
      <w:ind w:left="720"/>
      <w:contextualSpacing w:val="true"/>
    </w:pPr>
  </w:style>
  <w:style w:type="character" w:styleId="1262">
    <w:name w:val="Hyperlink"/>
    <w:pPr>
      <w:pBdr/>
      <w:spacing/>
      <w:ind/>
    </w:pPr>
    <w:rPr>
      <w:color w:val="0000ff"/>
      <w:u w:val="single"/>
    </w:rPr>
  </w:style>
  <w:style w:type="paragraph" w:styleId="1263">
    <w:name w:val="Header"/>
    <w:basedOn w:val="990"/>
    <w:link w:val="1264"/>
    <w:uiPriority w:val="99"/>
    <w:pPr>
      <w:pBdr/>
      <w:tabs>
        <w:tab w:val="center" w:leader="none" w:pos="4680"/>
        <w:tab w:val="right" w:leader="none" w:pos="9360"/>
      </w:tabs>
      <w:spacing/>
      <w:ind/>
    </w:pPr>
  </w:style>
  <w:style w:type="character" w:styleId="1264" w:customStyle="1">
    <w:name w:val="Header Char"/>
    <w:basedOn w:val="1000"/>
    <w:link w:val="1263"/>
    <w:uiPriority w:val="99"/>
    <w:pPr>
      <w:pBdr/>
      <w:spacing/>
      <w:ind/>
    </w:pPr>
    <w:rPr>
      <w:sz w:val="24"/>
      <w:szCs w:val="24"/>
    </w:rPr>
  </w:style>
  <w:style w:type="paragraph" w:styleId="1265">
    <w:name w:val="Footer"/>
    <w:basedOn w:val="990"/>
    <w:link w:val="1266"/>
    <w:uiPriority w:val="99"/>
    <w:pPr>
      <w:pBdr/>
      <w:tabs>
        <w:tab w:val="center" w:leader="none" w:pos="4680"/>
        <w:tab w:val="right" w:leader="none" w:pos="9360"/>
      </w:tabs>
      <w:spacing/>
      <w:ind/>
    </w:pPr>
  </w:style>
  <w:style w:type="character" w:styleId="1266" w:customStyle="1">
    <w:name w:val="Footer Char"/>
    <w:basedOn w:val="1000"/>
    <w:link w:val="1265"/>
    <w:uiPriority w:val="99"/>
    <w:pPr>
      <w:pBdr/>
      <w:spacing/>
      <w:ind/>
    </w:pPr>
    <w:rPr>
      <w:sz w:val="24"/>
      <w:szCs w:val="24"/>
    </w:rPr>
  </w:style>
  <w:style w:type="paragraph" w:styleId="1267">
    <w:name w:val="footnote text"/>
    <w:basedOn w:val="990"/>
    <w:link w:val="1268"/>
    <w:pPr>
      <w:pBdr/>
      <w:spacing/>
      <w:ind/>
    </w:pPr>
    <w:rPr>
      <w:sz w:val="20"/>
      <w:szCs w:val="20"/>
    </w:rPr>
  </w:style>
  <w:style w:type="character" w:styleId="1268" w:customStyle="1">
    <w:name w:val="Footnote Text Char"/>
    <w:basedOn w:val="1000"/>
    <w:link w:val="1267"/>
    <w:pPr>
      <w:pBdr/>
      <w:spacing/>
      <w:ind/>
    </w:pPr>
  </w:style>
  <w:style w:type="character" w:styleId="1269">
    <w:name w:val="footnote reference"/>
    <w:basedOn w:val="1000"/>
    <w:pPr>
      <w:pBdr/>
      <w:spacing/>
      <w:ind/>
    </w:pPr>
    <w:rPr>
      <w:vertAlign w:val="superscript"/>
    </w:rPr>
  </w:style>
  <w:style w:type="character" w:styleId="1270" w:customStyle="1">
    <w:name w:val="Văn bản nội dung (2)_"/>
    <w:basedOn w:val="1000"/>
    <w:link w:val="1272"/>
    <w:pPr>
      <w:pBdr/>
      <w:spacing/>
      <w:ind/>
    </w:pPr>
    <w:rPr>
      <w:sz w:val="26"/>
      <w:szCs w:val="26"/>
      <w:shd w:val="clear" w:color="auto" w:fill="ffffff"/>
    </w:rPr>
  </w:style>
  <w:style w:type="character" w:styleId="1271" w:customStyle="1">
    <w:name w:val="Văn bản nội dung (2) + Georgia"/>
    <w:basedOn w:val="1270"/>
    <w:pPr>
      <w:pBdr/>
      <w:spacing/>
      <w:ind/>
    </w:pPr>
    <w:rPr>
      <w:rFonts w:ascii="Georgia" w:hAnsi="Georgia" w:eastAsia="Georgia" w:cs="Georgia"/>
      <w:color w:val="000000"/>
      <w:spacing w:val="0"/>
      <w:position w:val="0"/>
      <w:sz w:val="26"/>
      <w:szCs w:val="26"/>
      <w:shd w:val="clear" w:color="auto" w:fill="ffffff"/>
      <w:lang w:val="vi-VN" w:eastAsia="vi-VN" w:bidi="vi-VN"/>
    </w:rPr>
  </w:style>
  <w:style w:type="paragraph" w:styleId="1272" w:customStyle="1">
    <w:name w:val="Văn bản nội dung (2)"/>
    <w:basedOn w:val="990"/>
    <w:link w:val="1270"/>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before="360" w:line="326" w:lineRule="exact"/>
      <w:ind/>
    </w:pPr>
    <w:rPr>
      <w:sz w:val="26"/>
      <w:szCs w:val="26"/>
    </w:rPr>
  </w:style>
  <w:style w:type="character" w:styleId="1273" w:customStyle="1">
    <w:name w:val="Ghi chú cuối trang_"/>
    <w:basedOn w:val="1000"/>
    <w:link w:val="1275"/>
    <w:pPr>
      <w:pBdr/>
      <w:spacing/>
      <w:ind/>
    </w:pPr>
    <w:rPr>
      <w:szCs w:val="20"/>
      <w:shd w:val="clear" w:color="auto" w:fill="ffffff"/>
    </w:rPr>
  </w:style>
  <w:style w:type="character" w:styleId="1274" w:customStyle="1">
    <w:name w:val="Văn bản nội dung (3)_"/>
    <w:basedOn w:val="1000"/>
    <w:link w:val="1276"/>
    <w:pPr>
      <w:pBdr/>
      <w:spacing/>
      <w:ind/>
    </w:pPr>
    <w:rPr>
      <w:b/>
      <w:bCs/>
      <w:sz w:val="26"/>
      <w:szCs w:val="26"/>
      <w:shd w:val="clear" w:color="auto" w:fill="ffffff"/>
    </w:rPr>
  </w:style>
  <w:style w:type="paragraph" w:styleId="1275" w:customStyle="1">
    <w:name w:val="Ghi chú cuối trang"/>
    <w:basedOn w:val="990"/>
    <w:link w:val="1273"/>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line="0" w:lineRule="atLeast"/>
      <w:ind/>
      <w:jc w:val="both"/>
    </w:pPr>
    <w:rPr>
      <w:sz w:val="20"/>
      <w:szCs w:val="20"/>
    </w:rPr>
  </w:style>
  <w:style w:type="paragraph" w:styleId="1276" w:customStyle="1">
    <w:name w:val="Văn bản nội dung (3)"/>
    <w:basedOn w:val="990"/>
    <w:link w:val="1274"/>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after="240" w:line="317" w:lineRule="exact"/>
      <w:ind w:hanging="1500"/>
    </w:pPr>
    <w:rPr>
      <w:b/>
      <w:bCs/>
      <w:sz w:val="26"/>
      <w:szCs w:val="26"/>
    </w:rPr>
  </w:style>
  <w:style w:type="character" w:styleId="1277" w:customStyle="1">
    <w:name w:val="Văn bản nội dung (2) + 15 pt"/>
    <w:basedOn w:val="1270"/>
    <w:pPr>
      <w:pBdr/>
      <w:spacing/>
      <w:ind/>
    </w:pPr>
    <w:rPr>
      <w:rFonts w:ascii="Times New Roman" w:hAnsi="Times New Roman" w:eastAsia="Times New Roman" w:cs="Times New Roman"/>
      <w:b w:val="0"/>
      <w:bCs w:val="0"/>
      <w:i w:val="0"/>
      <w:iCs w:val="0"/>
      <w:smallCaps/>
      <w:strike w:val="0"/>
      <w:color w:val="000000"/>
      <w:spacing w:val="0"/>
      <w:position w:val="0"/>
      <w:sz w:val="30"/>
      <w:szCs w:val="30"/>
      <w:u w:val="none"/>
      <w:shd w:val="clear" w:color="auto" w:fill="ffffff"/>
      <w:lang w:val="vi-VN" w:eastAsia="vi-VN" w:bidi="vi-VN"/>
    </w:rPr>
  </w:style>
  <w:style w:type="paragraph" w:styleId="1278">
    <w:name w:val="Balloon Text"/>
    <w:basedOn w:val="990"/>
    <w:link w:val="1279"/>
    <w:uiPriority w:val="99"/>
    <w:semiHidden/>
    <w:unhideWhenUsed/>
    <w:pPr>
      <w:pBdr/>
      <w:spacing/>
      <w:ind/>
    </w:pPr>
    <w:rPr>
      <w:rFonts w:ascii="Tahoma" w:hAnsi="Tahoma" w:cs="Tahoma"/>
      <w:sz w:val="16"/>
      <w:szCs w:val="16"/>
    </w:rPr>
  </w:style>
  <w:style w:type="character" w:styleId="1279" w:customStyle="1">
    <w:name w:val="Balloon Text Char"/>
    <w:basedOn w:val="1000"/>
    <w:link w:val="1278"/>
    <w:uiPriority w:val="99"/>
    <w:semiHidden/>
    <w:pPr>
      <w:pBdr/>
      <w:spacing/>
      <w:ind/>
    </w:pPr>
    <w:rPr>
      <w:rFonts w:ascii="Tahoma" w:hAnsi="Tahoma" w:cs="Tahoma"/>
      <w:sz w:val="16"/>
      <w:szCs w:val="16"/>
    </w:rPr>
  </w:style>
  <w:style w:type="paragraph" w:styleId="1280">
    <w:name w:val="Normal (Web)"/>
    <w:basedOn w:val="990"/>
    <w:uiPriority w:val="99"/>
    <w:semiHidden/>
    <w:unhideWhenUsed/>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style>
  <w:style w:type="paragraph" w:styleId="1281" w:customStyle="1">
    <w:name w:val="Default Paragraph Font Para Char Char Char Char Char"/>
    <w:pPr>
      <w:pBdr>
        <w:top w:val="none" w:color="000000" w:sz="0" w:space="0"/>
        <w:left w:val="none" w:color="000000" w:sz="0" w:space="0"/>
        <w:bottom w:val="none" w:color="000000" w:sz="0" w:space="0"/>
        <w:right w:val="none" w:color="000000" w:sz="0" w:space="0"/>
        <w:between w:val="none" w:color="000000" w:sz="0" w:space="0"/>
      </w:pBdr>
      <w:tabs>
        <w:tab w:val="left" w:leader="none" w:pos="1152"/>
      </w:tabs>
      <w:spacing w:after="120" w:before="120" w:line="312" w:lineRule="auto"/>
      <w:ind/>
    </w:pPr>
    <w:rPr>
      <w:rFonts w:ascii="Arial" w:hAnsi="Arial" w:cs="Arial"/>
      <w:sz w:val="26"/>
      <w:szCs w:val="26"/>
    </w:rPr>
  </w:style>
  <w:style w:type="paragraph" w:styleId="1282" w:customStyle="1">
    <w:name w:val="tieudechinh"/>
    <w:basedOn w:val="990"/>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color w:val="666666"/>
      <w:sz w:val="18"/>
      <w:szCs w:val="18"/>
    </w:rPr>
  </w:style>
  <w:style w:type="paragraph" w:styleId="1283" w:customStyle="1">
    <w:name w:val="tieudephu"/>
    <w:basedOn w:val="990"/>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color w:val="666666"/>
      <w:sz w:val="18"/>
      <w:szCs w:val="18"/>
    </w:rPr>
  </w:style>
  <w:style w:type="paragraph" w:styleId="1284" w:customStyle="1">
    <w:name w:val="than"/>
    <w:basedOn w:val="990"/>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Arial" w:hAnsi="Arial" w:cs="Arial"/>
      <w:color w:val="666666"/>
      <w:sz w:val="18"/>
      <w:szCs w:val="18"/>
    </w:rPr>
  </w:style>
  <w:style w:type="character" w:styleId="1285" w:customStyle="1">
    <w:name w:val="Unresolved Mention1"/>
    <w:basedOn w:val="1000"/>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58C80-280F-4924-B712-D1082544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Microsoft Corporation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Manh Cuong</dc:creator>
  <cp:lastModifiedBy>Huỳnh Phương Vũ</cp:lastModifiedBy>
  <cp:revision>8</cp:revision>
  <dcterms:created xsi:type="dcterms:W3CDTF">2025-09-29T07:07:00Z</dcterms:created>
  <dcterms:modified xsi:type="dcterms:W3CDTF">2025-10-01T04:40:43Z</dcterms:modified>
</cp:coreProperties>
</file>