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008"/>
        <w:tblW w:w="9606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6209"/>
      </w:tblGrid>
      <w:tr>
        <w:trPr>
          <w:trHeight w:val="823"/>
        </w:trPr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 w:right="2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ỦY BAN NHÂN DÂN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Bdr/>
              <w:spacing/>
              <w:ind w:right="2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TỈNH </w:t>
            </w:r>
            <w:r>
              <w:rPr>
                <w:b/>
                <w:sz w:val="26"/>
                <w:szCs w:val="26"/>
              </w:rPr>
              <w:t xml:space="preserve">TÂY NINH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Bdr/>
              <w:spacing/>
              <w:ind w:right="28"/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  <w:vertAlign w:val="superscript"/>
              </w:rPr>
              <w:t xml:space="preserve">___________</w:t>
            </w:r>
            <w:r>
              <w:rPr>
                <w:b/>
                <w:sz w:val="26"/>
                <w:szCs w:val="26"/>
                <w:vertAlign w:val="superscript"/>
              </w:rPr>
            </w:r>
            <w:r>
              <w:rPr>
                <w:b/>
                <w:sz w:val="26"/>
                <w:szCs w:val="26"/>
                <w:vertAlign w:val="superscript"/>
              </w:rPr>
            </w:r>
          </w:p>
        </w:tc>
        <w:tc>
          <w:tcPr>
            <w:tcBorders/>
            <w:tcW w:w="6209" w:type="dxa"/>
            <w:textDirection w:val="lrTb"/>
            <w:noWrap w:val="false"/>
          </w:tcPr>
          <w:p>
            <w:pPr>
              <w:pBdr/>
              <w:spacing/>
              <w:ind w:right="28" w:left="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NAM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pBdr/>
              <w:spacing/>
              <w:ind w:right="28" w:lef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Độc lập - Tự do - Hạnh phúc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 w:right="28"/>
              <w:jc w:val="center"/>
              <w:rPr>
                <w:b/>
                <w:sz w:val="26"/>
                <w:szCs w:val="26"/>
                <w:vertAlign w:val="superscript"/>
              </w:rPr>
            </w:pPr>
            <w:r>
              <w:rPr>
                <w:b/>
                <w:sz w:val="26"/>
                <w:szCs w:val="26"/>
                <w:vertAlign w:val="superscript"/>
              </w:rPr>
              <w:t xml:space="preserve">___________________________________________</w:t>
            </w:r>
            <w:r>
              <w:rPr>
                <w:b/>
                <w:sz w:val="26"/>
                <w:szCs w:val="26"/>
                <w:vertAlign w:val="superscript"/>
              </w:rPr>
            </w:r>
            <w:r>
              <w:rPr>
                <w:b/>
                <w:sz w:val="26"/>
                <w:szCs w:val="26"/>
                <w:vertAlign w:val="superscript"/>
              </w:rPr>
            </w:r>
          </w:p>
        </w:tc>
      </w:tr>
      <w:tr>
        <w:trPr/>
        <w:tc>
          <w:tcPr>
            <w:tcBorders/>
            <w:tcW w:w="3397" w:type="dxa"/>
            <w:textDirection w:val="lrTb"/>
            <w:noWrap w:val="false"/>
          </w:tcPr>
          <w:p>
            <w:pPr>
              <w:pBdr/>
              <w:spacing/>
              <w:ind w:right="28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         /TTr-UBND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/>
            <w:tcW w:w="6209" w:type="dxa"/>
            <w:textDirection w:val="lrTb"/>
            <w:noWrap w:val="false"/>
          </w:tcPr>
          <w:p>
            <w:pPr>
              <w:pBdr/>
              <w:spacing/>
              <w:ind w:right="28"/>
              <w:jc w:val="center"/>
              <w:rPr>
                <w:b/>
                <w:sz w:val="28"/>
                <w:szCs w:val="26"/>
              </w:rPr>
            </w:pPr>
            <w:r>
              <w:rPr>
                <w:i/>
                <w:sz w:val="28"/>
                <w:szCs w:val="26"/>
              </w:rPr>
              <w:t xml:space="preserve">Long An, ngày         tháng  </w:t>
            </w:r>
            <w:r>
              <w:rPr>
                <w:i/>
                <w:sz w:val="28"/>
                <w:szCs w:val="26"/>
              </w:rPr>
              <w:t xml:space="preserve"> </w:t>
            </w:r>
            <w:r>
              <w:rPr>
                <w:i/>
                <w:sz w:val="28"/>
                <w:szCs w:val="26"/>
              </w:rPr>
              <w:t xml:space="preserve">  năm 202</w:t>
            </w:r>
            <w:r>
              <w:rPr>
                <w:i/>
                <w:sz w:val="28"/>
                <w:szCs w:val="26"/>
              </w:rPr>
              <w:t xml:space="preserve">5</w:t>
            </w:r>
            <w:r>
              <w:rPr>
                <w:b/>
                <w:sz w:val="28"/>
                <w:szCs w:val="26"/>
              </w:rPr>
            </w:r>
            <w:r>
              <w:rPr>
                <w:b/>
                <w:sz w:val="28"/>
                <w:szCs w:val="26"/>
              </w:rPr>
            </w:r>
          </w:p>
        </w:tc>
      </w:tr>
    </w:tbl>
    <w:p>
      <w:pPr>
        <w:pBdr/>
        <w:spacing/>
        <w:ind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39370</wp:posOffset>
                </wp:positionV>
                <wp:extent cx="952500" cy="276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DỰ THẢO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31.95pt;mso-position-horizontal:absolute;mso-position-vertical-relative:text;margin-top:3.10pt;mso-position-vertical:absolute;width:75.00pt;height:21.7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DỰ THẢO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Bdr/>
        <w:spacing w:before="12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TỜ TRÌNH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0"/>
        <w:pBdr/>
        <w:spacing w:after="0" w:afterAutospacing="0" w:before="0" w:beforeAutospacing="0"/>
        <w:ind/>
        <w:jc w:val="center"/>
        <w:rPr>
          <w:rFonts w:ascii="Times New Roman Bold" w:hAnsi="Times New Roman Bold"/>
          <w:b/>
          <w:bCs/>
          <w:spacing w:val="-4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Về việc đề nghị ban hành </w:t>
      </w:r>
      <w:r>
        <w:rPr>
          <w:b/>
          <w:bCs/>
          <w:sz w:val="28"/>
          <w:szCs w:val="28"/>
        </w:rPr>
        <w:t xml:space="preserve">Nghị quyết quy định mức thưởng đối với học sinh đoạt giải trong các kỳ thi quốc gia, quốc tế; giáo viên trực tiếp bồi dưỡng </w:t>
      </w:r>
      <w:r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học sinh đoạt giải trong các kỳ thi quốc gia, quốc tế trên địa bàn </w:t>
      </w:r>
      <w:r>
        <w:rPr>
          <w:rFonts w:ascii="Times New Roman Bold" w:hAnsi="Times New Roman Bold"/>
          <w:b/>
          <w:bCs/>
          <w:spacing w:val="-4"/>
          <w:sz w:val="28"/>
          <w:szCs w:val="28"/>
        </w:rPr>
      </w:r>
      <w:r>
        <w:rPr>
          <w:rFonts w:ascii="Times New Roman Bold" w:hAnsi="Times New Roman Bold"/>
          <w:b/>
          <w:bCs/>
          <w:spacing w:val="-4"/>
          <w:sz w:val="28"/>
          <w:szCs w:val="28"/>
        </w:rPr>
      </w:r>
    </w:p>
    <w:p>
      <w:pPr>
        <w:pStyle w:val="1010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</w:rPr>
      </w:pPr>
      <w:r>
        <w:rPr>
          <w:rFonts w:ascii="Times New Roman Bold" w:hAnsi="Times New Roman Bold"/>
          <w:b/>
          <w:bCs/>
          <w:spacing w:val="-4"/>
          <w:sz w:val="28"/>
          <w:szCs w:val="28"/>
        </w:rPr>
        <w:t xml:space="preserve">tỉnh Tây Ninh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__________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pStyle w:val="1010"/>
        <w:pBdr/>
        <w:spacing w:after="0" w:afterAutospacing="0" w:before="0" w:beforeAutospacing="0" w:line="269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Thực hiện quy định của Luật Ban hành văn bản quy phạm pháp luật, Ủy ban nhân dân tỉnh kính trình Hội đồng nhân dân tỉnh ban hành Nghị quyết </w:t>
      </w:r>
      <w:r>
        <w:rPr>
          <w:bCs/>
          <w:sz w:val="28"/>
          <w:szCs w:val="28"/>
        </w:rPr>
        <w:t xml:space="preserve">quy định mức thưởng đối với học sinh đoạt giải trong các kỳ thi quốc gia, quốc tế; giáo viên trực tiếp bồi dưỡng học sinh đoạt giải trong các kỳ thi quốc gia, quốc tế trên địa bàn </w:t>
      </w:r>
      <w:r>
        <w:rPr>
          <w:bCs/>
          <w:sz w:val="28"/>
          <w:szCs w:val="28"/>
        </w:rPr>
        <w:t xml:space="preserve">tỉnh Tây Ninh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như sau: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Bdr/>
        <w:spacing w:before="120" w:line="269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SỰ CẦN THIẾT BAN HÀNH VĂN BẢN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nhân </w:t>
      </w:r>
      <w:r>
        <w:rPr>
          <w:sz w:val="28"/>
          <w:szCs w:val="28"/>
        </w:rPr>
        <w:t xml:space="preserve">dân</w:t>
      </w:r>
      <w:r>
        <w:rPr>
          <w:sz w:val="28"/>
          <w:szCs w:val="28"/>
        </w:rPr>
        <w:t xml:space="preserve"> tỉnh Long </w:t>
      </w:r>
      <w:r>
        <w:rPr>
          <w:sz w:val="28"/>
          <w:szCs w:val="28"/>
        </w:rPr>
        <w:t xml:space="preserve">An</w:t>
      </w:r>
      <w:r>
        <w:rPr>
          <w:sz w:val="28"/>
          <w:szCs w:val="28"/>
        </w:rPr>
        <w:t xml:space="preserve"> (trước khi sáp nhập tỉnh)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có ban hành Nghị quyết s</w:t>
      </w:r>
      <w:r>
        <w:rPr>
          <w:sz w:val="28"/>
          <w:szCs w:val="28"/>
        </w:rPr>
        <w:t xml:space="preserve">ố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9/2024/NQ-HĐND ngày 10/12/2024 q</w:t>
      </w:r>
      <w:r>
        <w:rPr>
          <w:sz w:val="28"/>
          <w:szCs w:val="28"/>
        </w:rPr>
        <w:t xml:space="preserve">uy định mức thưởng đối với học sinh đoạt giải trong các kỳ thi quốc gia, quốc tế; giáo viên trực tiếp bồi dưỡng học sinh đoạt giải trong các kỳ thi quốc gia, quốc tế trên địa bàn tỉnh Long An.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120"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Năm học 2024-2025 tỉnh Long </w:t>
      </w:r>
      <w:r>
        <w:rPr>
          <w:sz w:val="28"/>
          <w:szCs w:val="28"/>
        </w:rPr>
        <w:t xml:space="preserve">An</w:t>
      </w:r>
      <w:r>
        <w:rPr>
          <w:sz w:val="28"/>
          <w:szCs w:val="28"/>
        </w:rPr>
        <w:t xml:space="preserve"> đã chi 2</w:t>
      </w:r>
      <w:r>
        <w:rPr>
          <w:sz w:val="28"/>
          <w:szCs w:val="28"/>
        </w:rPr>
        <w:t xml:space="preserve">78</w:t>
      </w:r>
      <w:r>
        <w:rPr>
          <w:sz w:val="28"/>
          <w:szCs w:val="28"/>
        </w:rPr>
        <w:t xml:space="preserve">.000.000 đồng khen thưởng học sinh đoạt giải học sinh gi</w:t>
      </w:r>
      <w:r>
        <w:rPr>
          <w:sz w:val="28"/>
          <w:szCs w:val="28"/>
        </w:rPr>
        <w:t xml:space="preserve">ỏi quốc gia và giáo viên trực tiếp bồi dưỡng học sinh dự thi chọn học sinh giỏi quốc gia đoạt giải theo tinh thần Nghị quyết 29/2024/NQ-HĐND, tạo được sự phấn khởi cho học sinh trong học tập, thể hiện sự quan tâm của lãnh đạo tỉnh đối với đội ngũ nhà giáo.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120" w:line="264" w:lineRule="auto"/>
        <w:ind w:firstLine="709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 xml:space="preserve">Tỉnh Tây Ninh trước khi sáp nhập tỉnh chưa có chính sách thưởng cho học sinh, giáo viên thuộc các đối tượng như quy định tại Nghị quyết số 29/2024/NQ-HĐND.</w:t>
      </w:r>
      <w:r>
        <w:rPr>
          <w:b/>
          <w:sz w:val="28"/>
          <w:szCs w:val="28"/>
          <w:lang w:val="vi-VN"/>
        </w:rPr>
      </w:r>
      <w:r>
        <w:rPr>
          <w:b/>
          <w:sz w:val="28"/>
          <w:szCs w:val="28"/>
          <w:lang w:val="vi-VN"/>
        </w:rPr>
      </w:r>
    </w:p>
    <w:p>
      <w:pPr>
        <w:pBdr/>
        <w:spacing w:before="120" w:line="264" w:lineRule="auto"/>
        <w:ind w:firstLine="709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Sau khi thực hiện sáp nhập tỉnh Long </w:t>
      </w:r>
      <w:r>
        <w:rPr>
          <w:bCs/>
          <w:sz w:val="28"/>
          <w:szCs w:val="28"/>
        </w:rPr>
        <w:t xml:space="preserve">An</w:t>
      </w:r>
      <w:r>
        <w:rPr>
          <w:bCs/>
          <w:sz w:val="28"/>
          <w:szCs w:val="28"/>
        </w:rPr>
        <w:t xml:space="preserve"> và tỉnh Tây Ninh thành tỉnh Tây Ninh</w:t>
      </w:r>
      <w:r>
        <w:rPr>
          <w:bCs/>
          <w:sz w:val="28"/>
          <w:szCs w:val="28"/>
          <w:lang w:val="vi-VN"/>
        </w:rPr>
        <w:t xml:space="preserve">, việc </w:t>
      </w:r>
      <w:r>
        <w:rPr>
          <w:bCs/>
          <w:sz w:val="28"/>
          <w:szCs w:val="28"/>
        </w:rPr>
        <w:t xml:space="preserve">tỉnh </w:t>
      </w:r>
      <w:r>
        <w:rPr>
          <w:bCs/>
          <w:sz w:val="28"/>
          <w:szCs w:val="28"/>
        </w:rPr>
        <w:t xml:space="preserve">ban hành</w:t>
      </w:r>
      <w:r>
        <w:rPr>
          <w:bCs/>
          <w:sz w:val="28"/>
          <w:szCs w:val="28"/>
          <w:lang w:val="vi-VN"/>
        </w:rPr>
        <w:t xml:space="preserve"> quy định về mức thưởng cho học sinh đ</w:t>
      </w:r>
      <w:r>
        <w:rPr>
          <w:bCs/>
          <w:sz w:val="28"/>
          <w:szCs w:val="28"/>
        </w:rPr>
        <w:t xml:space="preserve">o</w:t>
      </w:r>
      <w:r>
        <w:rPr>
          <w:bCs/>
          <w:sz w:val="28"/>
          <w:szCs w:val="28"/>
          <w:lang w:val="vi-VN"/>
        </w:rPr>
        <w:t xml:space="preserve">ạt giải trong các kỳ thi quốc gia, quốc tế</w:t>
      </w:r>
      <w:r>
        <w:rPr>
          <w:bCs/>
          <w:sz w:val="28"/>
          <w:szCs w:val="28"/>
        </w:rPr>
        <w:t xml:space="preserve">; </w:t>
      </w:r>
      <w:r>
        <w:rPr>
          <w:sz w:val="28"/>
          <w:szCs w:val="28"/>
          <w:lang w:val="vi-VN"/>
        </w:rPr>
        <w:t xml:space="preserve">giáo viên </w:t>
      </w:r>
      <w:r>
        <w:rPr>
          <w:sz w:val="28"/>
          <w:szCs w:val="28"/>
        </w:rPr>
        <w:t xml:space="preserve">trực tiếp</w:t>
      </w:r>
      <w:r>
        <w:rPr>
          <w:sz w:val="28"/>
          <w:szCs w:val="28"/>
          <w:lang w:val="vi-VN"/>
        </w:rPr>
        <w:t xml:space="preserve"> bồi dưỡng học sinh</w:t>
      </w:r>
      <w:r>
        <w:rPr>
          <w:bCs/>
          <w:sz w:val="28"/>
          <w:szCs w:val="28"/>
        </w:rPr>
        <w:t xml:space="preserve"> đoạt giải trong các kỳ thi quốc gia, quốc tế</w:t>
      </w:r>
      <w:r>
        <w:rPr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</w:rPr>
        <w:t xml:space="preserve">áp dụng trên địa bàn tỉnh </w:t>
      </w:r>
      <w:r>
        <w:rPr>
          <w:bCs/>
          <w:sz w:val="28"/>
          <w:szCs w:val="28"/>
          <w:lang w:val="vi-VN"/>
        </w:rPr>
        <w:t xml:space="preserve">là </w:t>
      </w:r>
      <w:r>
        <w:rPr>
          <w:sz w:val="28"/>
          <w:szCs w:val="28"/>
          <w:lang w:val="vi-VN"/>
        </w:rPr>
        <w:t xml:space="preserve">phù hợp và rất</w:t>
      </w:r>
      <w:r>
        <w:rPr>
          <w:bCs/>
          <w:sz w:val="28"/>
          <w:szCs w:val="28"/>
          <w:lang w:val="vi-VN"/>
        </w:rPr>
        <w:t xml:space="preserve"> cần thiết.</w:t>
      </w:r>
      <w:r>
        <w:rPr>
          <w:bCs/>
          <w:sz w:val="28"/>
          <w:szCs w:val="28"/>
          <w:lang w:val="vi-VN"/>
        </w:rPr>
      </w:r>
      <w:r>
        <w:rPr>
          <w:bCs/>
          <w:sz w:val="28"/>
          <w:szCs w:val="28"/>
          <w:lang w:val="vi-VN"/>
        </w:rPr>
      </w:r>
    </w:p>
    <w:p>
      <w:pPr>
        <w:pBdr/>
        <w:spacing w:before="120"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CƠ SỞ PHÁP LÝ BAN HÀNH VĂN BẢN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 w:after="120" w:before="120"/>
        <w:ind w:firstLine="709"/>
        <w:jc w:val="both"/>
        <w:rPr/>
      </w:pPr>
      <w:r>
        <w:rPr>
          <w:iCs/>
          <w:spacing w:val="-4"/>
          <w:sz w:val="28"/>
          <w:szCs w:val="28"/>
        </w:rPr>
        <w:t xml:space="preserve">1. </w:t>
      </w:r>
      <w:bookmarkStart w:id="0" w:name="_Hlk203572981"/>
      <w:r>
        <w:rPr>
          <w:color w:val="000000"/>
          <w:sz w:val="28"/>
          <w:szCs w:val="28"/>
        </w:rPr>
        <w:t xml:space="preserve">Căn cứ Luật Tổ chức chính quyền địa phương ngày 19</w:t>
      </w:r>
      <w:r>
        <w:rPr>
          <w:color w:val="000000"/>
          <w:sz w:val="28"/>
          <w:szCs w:val="28"/>
        </w:rPr>
        <w:t xml:space="preserve"> tháng 02 năm </w:t>
      </w:r>
      <w:r>
        <w:rPr>
          <w:color w:val="000000"/>
          <w:sz w:val="28"/>
          <w:szCs w:val="28"/>
        </w:rPr>
        <w:t xml:space="preserve">2025;</w:t>
      </w:r>
      <w:bookmarkEnd w:id="0"/>
      <w:r/>
      <w:r/>
    </w:p>
    <w:p>
      <w:pPr>
        <w:widowControl w:val="false"/>
        <w:pBdr/>
        <w:spacing w:after="120" w:before="120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2. </w:t>
      </w:r>
      <w:r>
        <w:rPr>
          <w:iCs/>
          <w:spacing w:val="-4"/>
          <w:sz w:val="28"/>
          <w:szCs w:val="28"/>
        </w:rPr>
        <w:t xml:space="preserve">C</w:t>
      </w:r>
      <w:r>
        <w:rPr>
          <w:iCs/>
          <w:spacing w:val="-4"/>
          <w:sz w:val="28"/>
          <w:szCs w:val="28"/>
        </w:rPr>
        <w:t xml:space="preserve">ăn</w:t>
      </w:r>
      <w:r>
        <w:rPr>
          <w:iCs/>
          <w:spacing w:val="-4"/>
          <w:sz w:val="28"/>
          <w:szCs w:val="28"/>
        </w:rPr>
        <w:t xml:space="preserve"> cứ Luật ban hành văn bản quy phạm pháp luật ngày 19</w:t>
      </w:r>
      <w:r>
        <w:rPr>
          <w:iCs/>
          <w:spacing w:val="-4"/>
          <w:sz w:val="28"/>
          <w:szCs w:val="28"/>
        </w:rPr>
        <w:t xml:space="preserve"> tháng </w:t>
      </w:r>
      <w:r>
        <w:rPr>
          <w:iCs/>
          <w:spacing w:val="-4"/>
          <w:sz w:val="28"/>
          <w:szCs w:val="28"/>
        </w:rPr>
        <w:t xml:space="preserve">02</w:t>
      </w:r>
      <w:r>
        <w:rPr>
          <w:iCs/>
          <w:spacing w:val="-4"/>
          <w:sz w:val="28"/>
          <w:szCs w:val="28"/>
        </w:rPr>
        <w:t xml:space="preserve"> năm </w:t>
      </w:r>
      <w:r>
        <w:rPr>
          <w:iCs/>
          <w:spacing w:val="-4"/>
          <w:sz w:val="28"/>
          <w:szCs w:val="28"/>
        </w:rPr>
        <w:t xml:space="preserve">2025</w:t>
      </w:r>
      <w:r>
        <w:rPr>
          <w:iCs/>
          <w:spacing w:val="-4"/>
          <w:sz w:val="28"/>
          <w:szCs w:val="28"/>
        </w:rPr>
      </w:r>
      <w:r>
        <w:rPr>
          <w:iCs/>
          <w:spacing w:val="-4"/>
          <w:sz w:val="28"/>
          <w:szCs w:val="28"/>
        </w:rPr>
      </w:r>
    </w:p>
    <w:p>
      <w:pPr>
        <w:pBdr/>
        <w:spacing w:before="120" w:line="264" w:lineRule="auto"/>
        <w:ind w:left="720"/>
        <w:jc w:val="both"/>
        <w:rPr>
          <w:iCs/>
          <w:sz w:val="28"/>
          <w:szCs w:val="28"/>
          <w:lang w:val="vi-VN" w:eastAsia="vi-VN"/>
        </w:rPr>
      </w:pPr>
      <w:r>
        <w:rPr>
          <w:iCs/>
          <w:sz w:val="28"/>
          <w:szCs w:val="28"/>
          <w:lang w:eastAsia="vi-VN"/>
        </w:rPr>
        <w:t xml:space="preserve">3.</w:t>
      </w:r>
      <w:r>
        <w:rPr>
          <w:iCs/>
          <w:sz w:val="28"/>
          <w:szCs w:val="28"/>
          <w:lang w:val="vi-VN" w:eastAsia="vi-VN"/>
        </w:rPr>
        <w:t xml:space="preserve"> Luật Ngân sách nhà nước ngày 25</w:t>
      </w:r>
      <w:r>
        <w:rPr>
          <w:iCs/>
          <w:sz w:val="28"/>
          <w:szCs w:val="28"/>
          <w:lang w:eastAsia="vi-VN"/>
        </w:rPr>
        <w:t xml:space="preserve"> tháng </w:t>
      </w:r>
      <w:r>
        <w:rPr>
          <w:iCs/>
          <w:sz w:val="28"/>
          <w:szCs w:val="28"/>
          <w:lang w:val="vi-VN" w:eastAsia="vi-VN"/>
        </w:rPr>
        <w:t xml:space="preserve">6</w:t>
      </w:r>
      <w:r>
        <w:rPr>
          <w:iCs/>
          <w:sz w:val="28"/>
          <w:szCs w:val="28"/>
          <w:lang w:eastAsia="vi-VN"/>
        </w:rPr>
        <w:t xml:space="preserve"> năm </w:t>
      </w:r>
      <w:r>
        <w:rPr>
          <w:iCs/>
          <w:sz w:val="28"/>
          <w:szCs w:val="28"/>
          <w:lang w:val="vi-VN" w:eastAsia="vi-VN"/>
        </w:rPr>
        <w:t xml:space="preserve">2015;</w:t>
      </w:r>
      <w:r>
        <w:rPr>
          <w:iCs/>
          <w:sz w:val="28"/>
          <w:szCs w:val="28"/>
          <w:lang w:val="vi-VN" w:eastAsia="vi-VN"/>
        </w:rPr>
      </w:r>
      <w:r>
        <w:rPr>
          <w:iCs/>
          <w:sz w:val="28"/>
          <w:szCs w:val="28"/>
          <w:lang w:val="vi-VN" w:eastAsia="vi-VN"/>
        </w:rPr>
      </w:r>
    </w:p>
    <w:p>
      <w:pPr>
        <w:pBdr/>
        <w:spacing w:before="120" w:line="264" w:lineRule="auto"/>
        <w:ind w:firstLine="720"/>
        <w:jc w:val="both"/>
        <w:rPr>
          <w:iCs/>
          <w:sz w:val="28"/>
          <w:szCs w:val="28"/>
          <w:lang w:val="vi-VN" w:eastAsia="vi-VN"/>
        </w:rPr>
      </w:pPr>
      <w:r>
        <w:rPr>
          <w:iCs/>
          <w:sz w:val="28"/>
          <w:szCs w:val="28"/>
          <w:lang w:eastAsia="vi-VN"/>
        </w:rPr>
        <w:t xml:space="preserve">4.</w:t>
      </w:r>
      <w:r>
        <w:rPr>
          <w:iCs/>
          <w:sz w:val="28"/>
          <w:szCs w:val="28"/>
          <w:lang w:val="vi-VN" w:eastAsia="vi-VN"/>
        </w:rPr>
        <w:t xml:space="preserve"> Luật Giáo dục ngày 14</w:t>
      </w:r>
      <w:r>
        <w:rPr>
          <w:iCs/>
          <w:sz w:val="28"/>
          <w:szCs w:val="28"/>
          <w:lang w:eastAsia="vi-VN"/>
        </w:rPr>
        <w:t xml:space="preserve"> tháng </w:t>
      </w:r>
      <w:r>
        <w:rPr>
          <w:iCs/>
          <w:sz w:val="28"/>
          <w:szCs w:val="28"/>
          <w:lang w:val="vi-VN" w:eastAsia="vi-VN"/>
        </w:rPr>
        <w:t xml:space="preserve">6</w:t>
      </w:r>
      <w:r>
        <w:rPr>
          <w:iCs/>
          <w:sz w:val="28"/>
          <w:szCs w:val="28"/>
          <w:lang w:eastAsia="vi-VN"/>
        </w:rPr>
        <w:t xml:space="preserve"> năm </w:t>
      </w:r>
      <w:r>
        <w:rPr>
          <w:iCs/>
          <w:sz w:val="28"/>
          <w:szCs w:val="28"/>
          <w:lang w:val="vi-VN" w:eastAsia="vi-VN"/>
        </w:rPr>
        <w:t xml:space="preserve">2019;</w:t>
      </w:r>
      <w:r>
        <w:rPr>
          <w:iCs/>
          <w:sz w:val="28"/>
          <w:szCs w:val="28"/>
          <w:lang w:val="vi-VN" w:eastAsia="vi-VN"/>
        </w:rPr>
      </w:r>
      <w:r>
        <w:rPr>
          <w:iCs/>
          <w:sz w:val="28"/>
          <w:szCs w:val="28"/>
          <w:lang w:val="vi-VN" w:eastAsia="vi-VN"/>
        </w:rPr>
      </w:r>
    </w:p>
    <w:p>
      <w:pPr>
        <w:pBdr/>
        <w:spacing w:before="120" w:line="264" w:lineRule="auto"/>
        <w:ind w:firstLine="720"/>
        <w:jc w:val="both"/>
        <w:rPr>
          <w:iCs/>
          <w:sz w:val="28"/>
          <w:szCs w:val="28"/>
          <w:lang w:val="vi-VN" w:eastAsia="vi-VN"/>
        </w:rPr>
      </w:pPr>
      <w:r>
        <w:rPr>
          <w:bCs/>
          <w:iCs/>
          <w:sz w:val="28"/>
          <w:szCs w:val="28"/>
        </w:rPr>
        <w:t xml:space="preserve">5. Luật Thi đua, Khen thưởng ngày </w:t>
      </w:r>
      <w:r>
        <w:rPr>
          <w:bCs/>
          <w:iCs/>
          <w:sz w:val="28"/>
          <w:szCs w:val="28"/>
        </w:rPr>
        <w:t xml:space="preserve">15 tháng </w:t>
      </w:r>
      <w:r>
        <w:rPr>
          <w:bCs/>
          <w:iCs/>
          <w:sz w:val="28"/>
          <w:szCs w:val="28"/>
        </w:rPr>
        <w:t xml:space="preserve">6</w:t>
      </w:r>
      <w:r>
        <w:rPr>
          <w:bCs/>
          <w:iCs/>
          <w:sz w:val="28"/>
          <w:szCs w:val="28"/>
        </w:rPr>
        <w:t xml:space="preserve"> năm </w:t>
      </w:r>
      <w:r>
        <w:rPr>
          <w:bCs/>
          <w:iCs/>
          <w:sz w:val="28"/>
          <w:szCs w:val="28"/>
        </w:rPr>
        <w:t xml:space="preserve">2022;</w:t>
      </w:r>
      <w:r>
        <w:rPr>
          <w:iCs/>
          <w:sz w:val="28"/>
          <w:szCs w:val="28"/>
          <w:lang w:val="vi-VN" w:eastAsia="vi-VN"/>
        </w:rPr>
      </w:r>
      <w:r>
        <w:rPr>
          <w:iCs/>
          <w:sz w:val="28"/>
          <w:szCs w:val="28"/>
          <w:lang w:val="vi-VN" w:eastAsia="vi-VN"/>
        </w:rPr>
      </w:r>
    </w:p>
    <w:p>
      <w:pPr>
        <w:pBdr/>
        <w:spacing w:before="120" w:line="264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6.</w:t>
      </w:r>
      <w:r>
        <w:rPr>
          <w:iCs/>
          <w:sz w:val="28"/>
          <w:szCs w:val="28"/>
          <w:lang w:val="vi-VN"/>
        </w:rPr>
        <w:t xml:space="preserve"> Nghị định số 163/2016/N</w:t>
      </w:r>
      <w:r>
        <w:rPr>
          <w:iCs/>
          <w:sz w:val="28"/>
          <w:szCs w:val="28"/>
        </w:rPr>
        <w:t xml:space="preserve">Đ</w:t>
      </w:r>
      <w:r>
        <w:rPr>
          <w:iCs/>
          <w:sz w:val="28"/>
          <w:szCs w:val="28"/>
          <w:lang w:val="vi-VN"/>
        </w:rPr>
        <w:t xml:space="preserve">-CP ngày 21</w:t>
      </w:r>
      <w:r>
        <w:rPr>
          <w:iCs/>
          <w:sz w:val="28"/>
          <w:szCs w:val="28"/>
          <w:lang w:val="vi-VN"/>
        </w:rPr>
        <w:t xml:space="preserve"> tháng 12</w:t>
      </w:r>
      <w:r>
        <w:rPr>
          <w:iCs/>
          <w:sz w:val="28"/>
          <w:szCs w:val="28"/>
          <w:lang w:val="vi-VN"/>
        </w:rPr>
        <w:t xml:space="preserve"> năm 2016 của Chính phủ quy định chi tiết thi hành một số điều của Luật Ngân sách nhà nước;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Bdr/>
        <w:spacing w:before="120" w:line="264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7. </w:t>
      </w:r>
      <w:r>
        <w:rPr>
          <w:bCs/>
          <w:iCs/>
          <w:sz w:val="28"/>
          <w:szCs w:val="28"/>
        </w:rPr>
        <w:t xml:space="preserve">Nghị định số 98/2023/NĐ-CP ngày 31 tháng 12 năm 2023 của Chính phủ quy định chi tiết thi hành một số điều của Luật Thi đua, khen thưởng.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Bdr/>
        <w:spacing w:before="120" w:line="264" w:lineRule="auto"/>
        <w:ind w:firstLine="709"/>
        <w:jc w:val="both"/>
        <w:rPr>
          <w:b/>
          <w:sz w:val="28"/>
          <w:szCs w:val="28"/>
          <w:lang w:eastAsia="vi-VN"/>
        </w:rPr>
      </w:pPr>
      <w:r>
        <w:rPr>
          <w:b/>
          <w:sz w:val="28"/>
          <w:szCs w:val="28"/>
          <w:lang w:val="vi-VN" w:eastAsia="vi-VN"/>
        </w:rPr>
        <w:t xml:space="preserve">I</w:t>
      </w:r>
      <w:r>
        <w:rPr>
          <w:b/>
          <w:sz w:val="28"/>
          <w:szCs w:val="28"/>
          <w:lang w:eastAsia="vi-VN"/>
        </w:rPr>
        <w:t xml:space="preserve">II</w:t>
      </w:r>
      <w:r>
        <w:rPr>
          <w:b/>
          <w:sz w:val="28"/>
          <w:szCs w:val="28"/>
          <w:lang w:val="vi-VN" w:eastAsia="vi-VN"/>
        </w:rPr>
        <w:t xml:space="preserve">. </w:t>
      </w:r>
      <w:r>
        <w:rPr>
          <w:b/>
          <w:sz w:val="28"/>
          <w:szCs w:val="28"/>
          <w:lang w:eastAsia="vi-VN"/>
        </w:rPr>
        <w:t xml:space="preserve">NỘI DUNG CHÍNH CỦA NGHỊ QUYẾT</w:t>
      </w:r>
      <w:r>
        <w:rPr>
          <w:b/>
          <w:sz w:val="28"/>
          <w:szCs w:val="28"/>
          <w:lang w:eastAsia="vi-VN"/>
        </w:rPr>
      </w:r>
      <w:r>
        <w:rPr>
          <w:b/>
          <w:sz w:val="28"/>
          <w:szCs w:val="28"/>
          <w:lang w:eastAsia="vi-VN"/>
        </w:rPr>
      </w:r>
    </w:p>
    <w:p>
      <w:pPr>
        <w:pBdr/>
        <w:spacing w:before="120" w:line="26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Nội dung chính của Nghị quyết </w:t>
      </w:r>
      <w:r>
        <w:rPr>
          <w:rFonts w:eastAsia="Calibri"/>
          <w:sz w:val="28"/>
          <w:szCs w:val="28"/>
        </w:rPr>
        <w:t xml:space="preserve">là nội dung Nghị quyết số 29/2024/NQ-HĐND ngày 10/12/2024 của HĐND tỉnh Long </w:t>
      </w:r>
      <w:r>
        <w:rPr>
          <w:rFonts w:eastAsia="Calibri"/>
          <w:sz w:val="28"/>
          <w:szCs w:val="28"/>
        </w:rPr>
        <w:t xml:space="preserve">An</w:t>
      </w:r>
      <w:r>
        <w:rPr>
          <w:rFonts w:eastAsia="Calibri"/>
          <w:sz w:val="28"/>
          <w:szCs w:val="28"/>
        </w:rPr>
        <w:t xml:space="preserve"> (trước khi sáp nhập tỉnh) quy định mức thưởng đối với học sinh đoạt giải trong các kỳ thi quốc gia, quốc tế; giáo viên trực tiếp bồi dưỡng học sinh đoạt giải trong các kỳ thi quốc gia, quốc tế trên địa bàn tỉnh Long An</w:t>
      </w:r>
      <w:r>
        <w:rPr>
          <w:rFonts w:eastAsia="Calibri"/>
          <w:sz w:val="28"/>
          <w:szCs w:val="28"/>
        </w:rPr>
        <w:t xml:space="preserve">, cụ thể như sau: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Phạm vi điều chỉnh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before="120" w:line="264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Nghị quyết quy định mức thưởng đối với học sinh đang học tại các cơ sở giáo dục trên địa bàn </w:t>
      </w:r>
      <w:r>
        <w:rPr>
          <w:rFonts w:eastAsia="Calibri"/>
          <w:sz w:val="28"/>
          <w:szCs w:val="28"/>
        </w:rPr>
        <w:t xml:space="preserve">tỉnh Tây Ninh</w:t>
      </w:r>
      <w:r>
        <w:rPr>
          <w:rFonts w:eastAsia="Calibri"/>
          <w:sz w:val="28"/>
          <w:szCs w:val="28"/>
        </w:rPr>
        <w:t xml:space="preserve"> đoạt giải trong các kỳ thi quốc gia, quốc tế; giáo viên trực tiếp bồi dưỡng học sinh đang học tại các cơ sở giáo dục trên địa bàn </w:t>
      </w:r>
      <w:r>
        <w:rPr>
          <w:rFonts w:eastAsia="Calibri"/>
          <w:sz w:val="28"/>
          <w:szCs w:val="28"/>
        </w:rPr>
        <w:t xml:space="preserve">tỉnh Tây Ninh</w:t>
      </w:r>
      <w:r>
        <w:rPr>
          <w:rFonts w:eastAsia="Calibri"/>
          <w:sz w:val="28"/>
          <w:szCs w:val="28"/>
        </w:rPr>
        <w:t xml:space="preserve"> đoạt giải trong các kỳ thi quốc gia, quốc tế ngoài mức thưởng được quy định tại Nghị định 110/2020/NĐ-CP ngày 15/9/2020 của Chính phủ </w:t>
      </w:r>
      <w:r>
        <w:rPr>
          <w:sz w:val="28"/>
          <w:szCs w:val="28"/>
        </w:rPr>
        <w:t xml:space="preserve">quy định chế độ khen thưởng đối với học sinh, sinh viên, học viên đoạt giải trong các kỳ thi quốc gia, quốc tế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Đối tượng áp dụng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a) H</w:t>
      </w:r>
      <w:r>
        <w:rPr>
          <w:bCs/>
          <w:sz w:val="28"/>
          <w:szCs w:val="28"/>
        </w:rPr>
        <w:t xml:space="preserve">ọc sinh đang học tại các cơ sở giáo dục </w:t>
      </w:r>
      <w:r>
        <w:rPr>
          <w:sz w:val="28"/>
          <w:szCs w:val="28"/>
        </w:rPr>
        <w:t xml:space="preserve">trên địa bàn </w:t>
      </w:r>
      <w:r>
        <w:rPr>
          <w:sz w:val="28"/>
          <w:szCs w:val="28"/>
        </w:rPr>
        <w:t xml:space="preserve">tỉnh Tây Ninh</w:t>
      </w:r>
      <w:r>
        <w:rPr>
          <w:bCs/>
          <w:sz w:val="28"/>
          <w:szCs w:val="28"/>
        </w:rPr>
        <w:t xml:space="preserve"> đoạt giải trong các kỳ thi quốc gia do Bộ Giáo dục và Đào tạo tổ chức gồm: thi chọn học sinh giỏi quốc gia các môn học; thi nghiên cứu khoa học, kỹ thuật.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b) Học sinh đang học tại các cơ sở giáo dục </w:t>
      </w:r>
      <w:r>
        <w:rPr>
          <w:sz w:val="28"/>
          <w:szCs w:val="28"/>
        </w:rPr>
        <w:t xml:space="preserve">trên địa bàn </w:t>
      </w:r>
      <w:r>
        <w:rPr>
          <w:sz w:val="28"/>
          <w:szCs w:val="28"/>
        </w:rPr>
        <w:t xml:space="preserve">tỉnh Tây Ninh</w:t>
      </w:r>
      <w:r>
        <w:rPr>
          <w:bCs/>
          <w:sz w:val="28"/>
          <w:szCs w:val="28"/>
        </w:rPr>
        <w:t xml:space="preserve"> đoạt giải trong các kỳ thi quốc tế do Bộ Giáo dục và Đào tạo cử tham gia gồm: thi Olympic quốc tế các môn học, Olympic châu Á các môn học; thi nghiên cứu khoa học, kỹ thuật quốc tế.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c) Giáo viên đang công tác tại các cơ sở giáo dục trên địa bàn </w:t>
      </w:r>
      <w:r>
        <w:rPr>
          <w:sz w:val="28"/>
          <w:szCs w:val="28"/>
        </w:rPr>
        <w:t xml:space="preserve">tỉnh Tây Ninh</w:t>
      </w:r>
      <w:r>
        <w:rPr>
          <w:sz w:val="28"/>
          <w:szCs w:val="28"/>
        </w:rPr>
        <w:t xml:space="preserve"> được cấp có thẩm quyền quyết định phân công trực tiếp </w:t>
      </w:r>
      <w:r>
        <w:rPr>
          <w:color w:val="000000"/>
          <w:sz w:val="28"/>
          <w:szCs w:val="28"/>
        </w:rPr>
        <w:t xml:space="preserve">bồi dưỡng học sinh đoạt giải theo quy định tại </w:t>
      </w:r>
      <w:r>
        <w:rPr>
          <w:color w:val="000000"/>
          <w:sz w:val="28"/>
          <w:szCs w:val="28"/>
        </w:rPr>
        <w:t xml:space="preserve">nội dung</w:t>
      </w:r>
      <w:r>
        <w:rPr>
          <w:color w:val="000000"/>
          <w:sz w:val="28"/>
          <w:szCs w:val="28"/>
        </w:rPr>
        <w:t xml:space="preserve"> a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b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nêu trên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64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Mức tiền thưởng </w:t>
      </w:r>
      <w:r>
        <w:rPr>
          <w:b/>
          <w:bCs/>
          <w:sz w:val="28"/>
          <w:szCs w:val="28"/>
        </w:rPr>
        <w:t xml:space="preserve">đối với học sinh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after="119" w:before="120" w:line="264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a) Học sinh đoạt giải trong các kỳ thi quốc gia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tbl>
      <w:tblPr>
        <w:tblW w:w="8079" w:type="dxa"/>
        <w:tblInd w:w="567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>
        <w:trPr/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nhất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15.000.000 đồng;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nhì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12.000.000 đồng;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ba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9.000.000 đồng;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tư/Khuyến khích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textDirection w:val="lrTb"/>
            <w:noWrap w:val="false"/>
          </w:tcPr>
          <w:p>
            <w:pPr>
              <w:pBdr/>
              <w:spacing w:before="120"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5.000.000 đồng.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10"/>
        <w:pBdr/>
        <w:spacing w:after="119" w:afterAutospacing="0" w:before="120" w:beforeAutospacing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b) Học sinh đoạt giải trong kỳ thi quốc tế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tbl>
      <w:tblPr>
        <w:tblW w:w="8022" w:type="dxa"/>
        <w:tblInd w:w="567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4195"/>
      </w:tblGrid>
      <w:tr>
        <w:trPr>
          <w:trHeight w:val="283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Huy chương Vàng/Giải nhất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195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35.000.000 đồng;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Huy chương Bạc/Giải nhì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195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25.000.000 đồng;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Huy chương Đồng/Giải ba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195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10.000.000 đồng;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4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tư/Khuyến khích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195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8.000.000 đồng.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before="120" w:line="278" w:lineRule="auto"/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4. Mức tiền th</w:t>
      </w:r>
      <w:r>
        <w:rPr>
          <w:b/>
          <w:iCs/>
          <w:sz w:val="28"/>
          <w:szCs w:val="28"/>
        </w:rPr>
        <w:t xml:space="preserve">ưởng đối với giáo viên</w:t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Bdr/>
        <w:spacing w:before="120" w:line="278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a) Giáo viên trực tiếp bồi dưỡng học sinh đoạt giải trong các kỳ thi quốc gia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tbl>
      <w:tblPr>
        <w:tblW w:w="7739" w:type="dxa"/>
        <w:tblInd w:w="567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912"/>
      </w:tblGrid>
      <w:tr>
        <w:trPr>
          <w:trHeight w:val="318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nhất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10.000.000 đồng/giải;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9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nhì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8.000.000 đồng/giải;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18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ba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6.000.000 đồng/giải;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4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tư/Khuyến khích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3.000.000 đồng/giải.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before="120" w:line="278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b) Giáo viên trực tiếp bồi dưỡng học sinh đoạt giải trong các kỳ thi quốc tế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tbl>
      <w:tblPr>
        <w:tblW w:w="7739" w:type="dxa"/>
        <w:tblInd w:w="567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912"/>
      </w:tblGrid>
      <w:tr>
        <w:trPr>
          <w:trHeight w:val="318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nhất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24.000.000 đồng/giải;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9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nhì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17.000.000 đồng/giải;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18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ba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7.000.000 đồng/giải;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4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Giải tư/Khuyến khích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3912" w:type="dxa"/>
            <w:textDirection w:val="lrTb"/>
            <w:noWrap w:val="false"/>
          </w:tcPr>
          <w:p>
            <w:pPr>
              <w:pBdr/>
              <w:spacing w:before="120" w:line="27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5.000.000 đồng/giải.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 w:before="120" w:line="278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5. Thủ tục, hồ sơ xét thưởng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 w:before="120" w:line="27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Thủ tục, hồ sơ xét thưởng đối với học sinh, giáo viên quy định tại Nghị quyết này thực hiện theo Điều 40 Nghị định số 98/2023/NĐ-CP ngày 31/12/2023 của Chính phủ quy định chi tiết thi hành một số điều của Luật Thi đua, khen thưởng.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010"/>
        <w:pBdr/>
        <w:spacing w:after="0" w:afterAutospacing="0" w:before="120" w:beforeAutospacing="0" w:line="278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QUÁ TRÌNH XÂY DỰNG DỰ THẢO VĂN BẢN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 w:before="120" w:line="278" w:lineRule="auto"/>
        <w:ind w:firstLine="709"/>
        <w:jc w:val="both"/>
        <w:rPr>
          <w:rStyle w:val="1020"/>
          <w:color w:val="000000"/>
          <w:sz w:val="28"/>
          <w:szCs w:val="28"/>
          <w:lang w:eastAsia="vi-VN"/>
        </w:rPr>
      </w:pPr>
      <w:r>
        <w:rPr>
          <w:rStyle w:val="1020"/>
          <w:color w:val="000000" w:themeColor="text1"/>
          <w:sz w:val="28"/>
          <w:szCs w:val="28"/>
          <w:lang w:eastAsia="vi-VN"/>
        </w:rPr>
        <w:t xml:space="preserve">Dự thảo văn bản đã được Ủy ban nhân dân tỉnh giao cho cơ quan chuyên môn (Sở Giáo dục và Đào tạo) soạn thảo, tổ chức lấy ý kiến của các sở, ngành, cơ quan liên quan và tiếp thu, hoàn chỉnh dự thảo; Sở Tư pháp đã có ý kiến thẩm định tại Công văn 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……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/STP-XDKTVB ngày 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….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 tháng 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….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 năm 202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5</w:t>
      </w:r>
      <w:r>
        <w:rPr>
          <w:rStyle w:val="1020"/>
          <w:color w:val="000000" w:themeColor="text1"/>
          <w:sz w:val="28"/>
          <w:szCs w:val="28"/>
          <w:lang w:eastAsia="vi-VN"/>
        </w:rPr>
        <w:t xml:space="preserve">.</w:t>
      </w:r>
      <w:r>
        <w:rPr>
          <w:rStyle w:val="1020"/>
          <w:color w:val="000000"/>
          <w:sz w:val="28"/>
          <w:szCs w:val="28"/>
          <w:lang w:eastAsia="vi-VN"/>
        </w:rPr>
      </w:r>
      <w:r>
        <w:rPr>
          <w:rStyle w:val="1020"/>
          <w:color w:val="000000"/>
          <w:sz w:val="28"/>
          <w:szCs w:val="28"/>
          <w:lang w:eastAsia="vi-VN"/>
        </w:rPr>
      </w:r>
    </w:p>
    <w:p>
      <w:pPr>
        <w:pBdr/>
        <w:spacing w:before="120" w:line="278" w:lineRule="auto"/>
        <w:ind w:firstLine="709"/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V. DỰ KIẾN NGUỒN LỰC, ĐIỀU KIỆN ĐẢM BẢO THỰC HIỆN CHÍNH SÁCH </w:t>
      </w:r>
      <w:r>
        <w:rPr>
          <w:b/>
          <w:sz w:val="28"/>
          <w:szCs w:val="28"/>
          <w:lang w:val="it-IT"/>
        </w:rPr>
      </w:r>
      <w:r>
        <w:rPr>
          <w:b/>
          <w:sz w:val="28"/>
          <w:szCs w:val="28"/>
          <w:lang w:val="it-IT"/>
        </w:rPr>
      </w:r>
    </w:p>
    <w:p>
      <w:pPr>
        <w:pBdr/>
        <w:spacing w:before="120" w:line="278" w:lineRule="auto"/>
        <w:ind w:firstLine="709"/>
        <w:jc w:val="both"/>
        <w:rPr>
          <w:color w:val="000000" w:themeColor="text1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1. Nguồn kinh phí thực hiện: </w:t>
      </w:r>
      <w:r>
        <w:rPr>
          <w:color w:val="000000" w:themeColor="text1"/>
          <w:sz w:val="28"/>
          <w:szCs w:val="28"/>
          <w:lang w:val="it-IT"/>
        </w:rPr>
        <w:t xml:space="preserve">Từ nguồn ngân sách nhà nước theo phân cấp ngân sách hiện hành và nguồn kinh phí hợp pháp khác.</w:t>
      </w:r>
      <w:r>
        <w:rPr>
          <w:sz w:val="28"/>
          <w:szCs w:val="28"/>
          <w:lang w:val="it-IT"/>
        </w:rPr>
      </w:r>
    </w:p>
    <w:p>
      <w:pPr>
        <w:pBdr/>
        <w:spacing w:before="120" w:line="278" w:lineRule="auto"/>
        <w:ind w:firstLine="709"/>
        <w:jc w:val="both"/>
        <w:rPr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  <w:lang w:val="it-IT"/>
        </w:rPr>
        <w:t xml:space="preserve">2. Dự toán kinh phí: ước tính khoảng 1.000.000.000 đồng/năm (tỉnh Long An cũ 500.000.000 đồng/năm, tỉnh Tây Ninh cũ 500.000.000 đồng/năm).</w:t>
      </w:r>
      <w:bookmarkStart w:id="1" w:name="_Hlk138772020"/>
      <w:r>
        <w:rPr>
          <w:sz w:val="28"/>
          <w:szCs w:val="28"/>
          <w:lang w:val="it-IT"/>
        </w:rPr>
      </w:r>
      <w:r/>
    </w:p>
    <w:p>
      <w:pPr>
        <w:pBdr/>
        <w:spacing w:before="120" w:line="278" w:lineRule="auto"/>
        <w:ind w:firstLine="709"/>
        <w:jc w:val="both"/>
        <w:rPr>
          <w:sz w:val="28"/>
          <w:szCs w:val="28"/>
          <w:lang w:val="it-IT"/>
        </w:rPr>
      </w:pPr>
      <w:r>
        <w:rPr>
          <w:position w:val="-1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Ủy ban nhân dân tỉnh chỉ đạo các sở, ban ngành, địa phương căn cứ chức năng, nhiệm vụ được giao để tổ chức triển khai thực hiện Nghị quyết.</w:t>
      </w:r>
      <w:r>
        <w:rPr>
          <w:sz w:val="28"/>
          <w:szCs w:val="28"/>
          <w:lang w:val="it-IT"/>
        </w:rPr>
      </w:r>
      <w:r>
        <w:rPr>
          <w:sz w:val="28"/>
          <w:szCs w:val="28"/>
          <w:lang w:val="it-IT"/>
        </w:rPr>
      </w:r>
    </w:p>
    <w:p>
      <w:pPr>
        <w:pBdr/>
        <w:spacing w:before="120" w:line="278" w:lineRule="auto"/>
        <w:ind w:firstLine="709"/>
        <w:jc w:val="both"/>
        <w:outlineLvl w:val="0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Với nội dung trên, Ủy ban nhân dân tỉnh kính trình Hội đồng nhân dân tỉnh khóa </w:t>
      </w:r>
      <w:r>
        <w:rPr>
          <w:position w:val="-1"/>
          <w:sz w:val="28"/>
          <w:szCs w:val="28"/>
        </w:rPr>
        <w:t xml:space="preserve">X</w:t>
      </w:r>
      <w:r>
        <w:rPr>
          <w:position w:val="-1"/>
          <w:sz w:val="28"/>
          <w:szCs w:val="28"/>
        </w:rPr>
        <w:t xml:space="preserve">, kỳ họp thứ </w:t>
      </w:r>
      <w:r>
        <w:rPr>
          <w:position w:val="-1"/>
          <w:sz w:val="28"/>
          <w:szCs w:val="28"/>
        </w:rPr>
        <w:t xml:space="preserve">….</w:t>
      </w:r>
      <w:r>
        <w:rPr>
          <w:position w:val="-1"/>
          <w:sz w:val="28"/>
          <w:szCs w:val="28"/>
        </w:rPr>
        <w:t xml:space="preserve">  xem xét, thông qua và ban hành </w:t>
      </w:r>
      <w:r>
        <w:rPr>
          <w:spacing w:val="11"/>
          <w:position w:val="-1"/>
          <w:sz w:val="28"/>
          <w:szCs w:val="28"/>
        </w:rPr>
        <w:t xml:space="preserve">Nghị quyết về nội dung trên</w:t>
      </w:r>
      <w:r>
        <w:rPr>
          <w:i/>
          <w:spacing w:val="11"/>
          <w:position w:val="-1"/>
          <w:sz w:val="28"/>
          <w:szCs w:val="28"/>
        </w:rPr>
        <w:t xml:space="preserve">, </w:t>
      </w:r>
      <w:r>
        <w:rPr>
          <w:spacing w:val="11"/>
          <w:position w:val="-1"/>
          <w:sz w:val="28"/>
          <w:szCs w:val="28"/>
        </w:rPr>
        <w:t xml:space="preserve">làm cơ sở để Ủy ban nhân dân tỉnh triển khai thực hiện</w:t>
      </w:r>
      <w:r>
        <w:rPr>
          <w:spacing w:val="11"/>
          <w:position w:val="-1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s</w:t>
      </w:r>
      <w:bookmarkStart w:id="2" w:name="_GoBack"/>
      <w:r/>
      <w:bookmarkEnd w:id="2"/>
      <w:r>
        <w:rPr>
          <w:color w:val="000000"/>
          <w:sz w:val="28"/>
          <w:szCs w:val="28"/>
        </w:rPr>
        <w:t xml:space="preserve">au khi được thông qua, Nghị quyết thay thế toàn bộ các nội dung của Nghị quyết số </w:t>
      </w:r>
      <w:r>
        <w:rPr>
          <w:sz w:val="28"/>
          <w:szCs w:val="28"/>
        </w:rPr>
        <w:t xml:space="preserve">29/2024/NQ-HĐND ngày 10/12/2024 của tỉnh Long </w:t>
      </w:r>
      <w:r>
        <w:rPr>
          <w:sz w:val="28"/>
          <w:szCs w:val="28"/>
        </w:rPr>
        <w:t xml:space="preserve">An</w:t>
      </w:r>
      <w:r>
        <w:rPr>
          <w:color w:val="000000"/>
          <w:sz w:val="28"/>
          <w:szCs w:val="28"/>
        </w:rPr>
        <w:t xml:space="preserve">, nhằm đảm bảo tính đồng bộ và thống nhất trên toàn địa bàn tỉnh mới sau sáp nhập</w:t>
      </w:r>
      <w:r>
        <w:rPr>
          <w:spacing w:val="11"/>
          <w:position w:val="-1"/>
          <w:sz w:val="28"/>
          <w:szCs w:val="28"/>
        </w:rPr>
        <w:t xml:space="preserve">./.</w:t>
      </w:r>
      <w:bookmarkEnd w:id="1"/>
      <w:r>
        <w:rPr>
          <w:position w:val="-1"/>
          <w:sz w:val="28"/>
          <w:szCs w:val="28"/>
        </w:rPr>
      </w:r>
      <w:r>
        <w:rPr>
          <w:position w:val="-1"/>
          <w:sz w:val="28"/>
          <w:szCs w:val="28"/>
        </w:rPr>
      </w:r>
    </w:p>
    <w:p>
      <w:pPr>
        <w:pBdr/>
        <w:spacing/>
        <w:ind w:firstLine="709"/>
        <w:jc w:val="both"/>
        <w:outlineLvl w:val="0"/>
        <w:rPr>
          <w:i/>
          <w:position w:val="-1"/>
          <w:sz w:val="28"/>
          <w:szCs w:val="28"/>
        </w:rPr>
      </w:pPr>
      <w:r>
        <w:rPr>
          <w:i/>
          <w:position w:val="-1"/>
          <w:sz w:val="28"/>
          <w:szCs w:val="28"/>
        </w:rPr>
        <w:t xml:space="preserve">(Đính kèm dự thảo Nghị quyết và các văn bản, tài liệu có liên quan).</w:t>
      </w:r>
      <w:r>
        <w:rPr>
          <w:i/>
          <w:position w:val="-1"/>
          <w:sz w:val="28"/>
          <w:szCs w:val="28"/>
        </w:rPr>
      </w:r>
      <w:r>
        <w:rPr>
          <w:i/>
          <w:position w:val="-1"/>
          <w:sz w:val="28"/>
          <w:szCs w:val="28"/>
        </w:rPr>
      </w:r>
    </w:p>
    <w:p>
      <w:pPr>
        <w:pBdr/>
        <w:spacing w:before="120"/>
        <w:ind w:firstLine="567"/>
        <w:jc w:val="both"/>
        <w:outlineLvl w:val="0"/>
        <w:rPr>
          <w:i/>
          <w:position w:val="-1"/>
          <w:sz w:val="28"/>
          <w:szCs w:val="28"/>
        </w:rPr>
      </w:pPr>
      <w:r>
        <w:rPr>
          <w:i/>
          <w:position w:val="-1"/>
          <w:sz w:val="28"/>
          <w:szCs w:val="28"/>
        </w:rPr>
      </w:r>
      <w:r>
        <w:rPr>
          <w:i/>
          <w:position w:val="-1"/>
          <w:sz w:val="28"/>
          <w:szCs w:val="28"/>
        </w:rPr>
      </w:r>
      <w:r>
        <w:rPr>
          <w:i/>
          <w:position w:val="-1"/>
          <w:sz w:val="28"/>
          <w:szCs w:val="28"/>
        </w:rPr>
      </w:r>
    </w:p>
    <w:tbl>
      <w:tblPr>
        <w:tblStyle w:val="1023"/>
        <w:tblW w:w="9138" w:type="dxa"/>
        <w:tblInd w:w="-67" w:type="dxa"/>
        <w:tblBorders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536"/>
        <w:gridCol w:w="4602"/>
      </w:tblGrid>
      <w:tr>
        <w:trPr>
          <w:trHeight w:val="808"/>
        </w:trPr>
        <w:tc>
          <w:tcPr>
            <w:tcBorders/>
            <w:tcW w:w="4536" w:type="dxa"/>
            <w:textDirection w:val="lrTb"/>
            <w:noWrap w:val="false"/>
          </w:tcPr>
          <w:p>
            <w:pPr>
              <w:pBdr/>
              <w:spacing/>
              <w:ind w:right="74" w:left="-77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Nơi nhận: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TT.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Tỉnh ủy, TT.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HĐND tỉnh;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Các vị đại biểu HĐND tỉnh khóa X;</w:t>
            </w: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Các vị đ</w:t>
            </w:r>
            <w:r>
              <w:rPr>
                <w:bCs/>
                <w:sz w:val="22"/>
                <w:szCs w:val="22"/>
              </w:rPr>
              <w:t xml:space="preserve">ại biểu QH </w:t>
            </w:r>
            <w:r>
              <w:rPr>
                <w:bCs/>
                <w:sz w:val="22"/>
                <w:szCs w:val="22"/>
              </w:rPr>
              <w:t xml:space="preserve">tỉnh Tây Ninh</w:t>
            </w:r>
            <w:r>
              <w:rPr>
                <w:bCs/>
                <w:sz w:val="22"/>
                <w:szCs w:val="22"/>
              </w:rPr>
              <w:t xml:space="preserve">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CT, các PCT UBND tỉnh;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Ban Thường trực UBMTTQVN tỉnh và các tổ chức chính trị - xã hội tỉnh;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Văn phòng Đoàn ĐBQH và HĐND tỉnh;     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Các sở, ngành tỉnh;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CVP, các PCVP UBND tỉnh;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tabs>
                <w:tab w:val="center" w:leader="none" w:pos="6804"/>
              </w:tabs>
              <w:spacing/>
              <w:ind w:right="74" w:left="-7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Phòng: VHXH+THKSTTHC;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 w:right="74" w:left="-7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Lưu: VT, th.                                             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/>
            <w:tcW w:w="4602" w:type="dxa"/>
            <w:textDirection w:val="lrTb"/>
            <w:noWrap w:val="false"/>
          </w:tcPr>
          <w:p>
            <w:pPr>
              <w:pBdr/>
              <w:spacing w:before="40"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TM. ỦY BAN NHÂN DÂN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CHỦ TỊCH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Bdr/>
              <w:spacing/>
              <w:ind w:right="7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Nguyễn Văn Út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sectPr>
      <w:headerReference w:type="default" r:id="rId9"/>
      <w:footnotePr/>
      <w:endnotePr/>
      <w:type w:val="nextPage"/>
      <w:pgSz w:h="16840" w:orient="portrait" w:w="11907"/>
      <w:pgMar w:top="1134" w:right="1134" w:bottom="1134" w:left="1701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Times New Roman Bold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66072526"/>
      <w:docPartObj>
        <w:docPartGallery w:val="Page Numbers (Top of Page)"/>
        <w:docPartUnique w:val="true"/>
      </w:docPartObj>
      <w:rPr/>
    </w:sdtPr>
    <w:sdtContent>
      <w:p>
        <w:pPr>
          <w:pStyle w:val="101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10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hanging="72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7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left" w:leader="none" w:pos="930"/>
        </w:tabs>
        <w:spacing/>
        <w:ind w:hanging="360" w:left="93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50"/>
        </w:tabs>
        <w:spacing/>
        <w:ind w:hanging="360" w:left="165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70"/>
        </w:tabs>
        <w:spacing/>
        <w:ind w:hanging="360" w:left="237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90"/>
        </w:tabs>
        <w:spacing/>
        <w:ind w:hanging="360" w:left="309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810"/>
        </w:tabs>
        <w:spacing/>
        <w:ind w:hanging="360" w:left="381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30"/>
        </w:tabs>
        <w:spacing/>
        <w:ind w:hanging="360" w:left="453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50"/>
        </w:tabs>
        <w:spacing/>
        <w:ind w:hanging="360" w:left="525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70"/>
        </w:tabs>
        <w:spacing/>
        <w:ind w:hanging="360" w:left="597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90"/>
        </w:tabs>
        <w:spacing/>
        <w:ind w:hanging="360" w:left="669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5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6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7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8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9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0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31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2" w:default="1">
    <w:name w:val="Normal"/>
    <w:qFormat/>
    <w:pPr>
      <w:pBdr/>
      <w:spacing/>
      <w:ind/>
    </w:pPr>
    <w:rPr>
      <w:sz w:val="24"/>
      <w:szCs w:val="24"/>
    </w:rPr>
  </w:style>
  <w:style w:type="paragraph" w:styleId="833">
    <w:name w:val="Heading 1"/>
    <w:basedOn w:val="832"/>
    <w:next w:val="832"/>
    <w:link w:val="93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34">
    <w:name w:val="Heading 2"/>
    <w:basedOn w:val="832"/>
    <w:next w:val="832"/>
    <w:link w:val="93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35">
    <w:name w:val="Heading 3"/>
    <w:basedOn w:val="832"/>
    <w:next w:val="832"/>
    <w:link w:val="93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6">
    <w:name w:val="Heading 4"/>
    <w:basedOn w:val="832"/>
    <w:next w:val="832"/>
    <w:link w:val="9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7">
    <w:name w:val="Heading 5"/>
    <w:basedOn w:val="832"/>
    <w:next w:val="832"/>
    <w:link w:val="9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38">
    <w:name w:val="Heading 6"/>
    <w:basedOn w:val="832"/>
    <w:next w:val="832"/>
    <w:link w:val="9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832"/>
    <w:next w:val="832"/>
    <w:link w:val="9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832"/>
    <w:next w:val="832"/>
    <w:link w:val="9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1">
    <w:name w:val="Heading 9"/>
    <w:basedOn w:val="832"/>
    <w:next w:val="832"/>
    <w:link w:val="9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paragraph" w:styleId="845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6" w:customStyle="1">
    <w:name w:val="Caption Char"/>
    <w:uiPriority w:val="99"/>
    <w:pPr>
      <w:pBdr/>
      <w:spacing/>
      <w:ind/>
    </w:pPr>
  </w:style>
  <w:style w:type="table" w:styleId="847">
    <w:name w:val="Grid Table Light"/>
    <w:basedOn w:val="8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Accent 1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Accent 2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Accent 3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Accent 4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Accent 5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Accent 6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Accent 1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Accent 2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Accent 3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Accent 4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Accent 5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Accent 6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Accent 1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Accent 2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Accent 3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Accent 4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Accent 5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Accent 6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Accent 1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Accent 2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Accent 3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Accent 4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Accent 5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Accent 6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Accent 1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Accent 2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Accent 3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Accent 4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Accent 5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Accent 6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6 Colorful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6 Colorful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Accent 1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7 Colorful Accent 2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7 Colorful Accent 3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 Accent 4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Accent 5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Accent 6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endnote text"/>
    <w:basedOn w:val="832"/>
    <w:link w:val="931"/>
    <w:uiPriority w:val="99"/>
    <w:semiHidden/>
    <w:unhideWhenUsed/>
    <w:pPr>
      <w:pBdr/>
      <w:spacing/>
      <w:ind/>
    </w:pPr>
    <w:rPr>
      <w:sz w:val="20"/>
    </w:rPr>
  </w:style>
  <w:style w:type="character" w:styleId="931" w:customStyle="1">
    <w:name w:val="Endnote Text Char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able of figures"/>
    <w:basedOn w:val="832"/>
    <w:next w:val="832"/>
    <w:uiPriority w:val="99"/>
    <w:unhideWhenUsed/>
    <w:pPr>
      <w:pBdr/>
      <w:spacing/>
      <w:ind/>
    </w:pPr>
  </w:style>
  <w:style w:type="character" w:styleId="934" w:customStyle="1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5" w:customStyle="1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36" w:customStyle="1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7" w:customStyle="1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8" w:customStyle="1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9" w:customStyle="1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0" w:customStyle="1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1" w:customStyle="1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2" w:customStyle="1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43">
    <w:name w:val="No Spacing"/>
    <w:uiPriority w:val="1"/>
    <w:qFormat/>
    <w:pPr>
      <w:pBdr/>
      <w:spacing/>
      <w:ind/>
    </w:pPr>
  </w:style>
  <w:style w:type="paragraph" w:styleId="944">
    <w:name w:val="Title"/>
    <w:basedOn w:val="832"/>
    <w:next w:val="832"/>
    <w:link w:val="94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45" w:customStyle="1">
    <w:name w:val="Title Char"/>
    <w:basedOn w:val="842"/>
    <w:link w:val="944"/>
    <w:uiPriority w:val="10"/>
    <w:pPr>
      <w:pBdr/>
      <w:spacing/>
      <w:ind/>
    </w:pPr>
    <w:rPr>
      <w:sz w:val="48"/>
      <w:szCs w:val="48"/>
    </w:rPr>
  </w:style>
  <w:style w:type="paragraph" w:styleId="946">
    <w:name w:val="Subtitle"/>
    <w:basedOn w:val="832"/>
    <w:next w:val="832"/>
    <w:link w:val="947"/>
    <w:uiPriority w:val="11"/>
    <w:qFormat/>
    <w:pPr>
      <w:pBdr/>
      <w:spacing w:after="200" w:before="200"/>
      <w:ind/>
    </w:pPr>
  </w:style>
  <w:style w:type="character" w:styleId="947" w:customStyle="1">
    <w:name w:val="Subtitle Char"/>
    <w:basedOn w:val="842"/>
    <w:link w:val="946"/>
    <w:uiPriority w:val="11"/>
    <w:pPr>
      <w:pBdr/>
      <w:spacing/>
      <w:ind/>
    </w:pPr>
    <w:rPr>
      <w:sz w:val="24"/>
      <w:szCs w:val="24"/>
    </w:rPr>
  </w:style>
  <w:style w:type="paragraph" w:styleId="948">
    <w:name w:val="Quote"/>
    <w:basedOn w:val="832"/>
    <w:next w:val="832"/>
    <w:link w:val="949"/>
    <w:uiPriority w:val="29"/>
    <w:qFormat/>
    <w:pPr>
      <w:pBdr/>
      <w:spacing/>
      <w:ind w:right="720" w:left="720"/>
    </w:pPr>
    <w:rPr>
      <w:i/>
    </w:rPr>
  </w:style>
  <w:style w:type="character" w:styleId="949" w:customStyle="1">
    <w:name w:val="Quote Char"/>
    <w:link w:val="948"/>
    <w:uiPriority w:val="29"/>
    <w:pPr>
      <w:pBdr/>
      <w:spacing/>
      <w:ind/>
    </w:pPr>
    <w:rPr>
      <w:i/>
    </w:rPr>
  </w:style>
  <w:style w:type="paragraph" w:styleId="950">
    <w:name w:val="Intense Quote"/>
    <w:basedOn w:val="832"/>
    <w:next w:val="832"/>
    <w:link w:val="9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51" w:customStyle="1">
    <w:name w:val="Intense Quote Char"/>
    <w:link w:val="950"/>
    <w:uiPriority w:val="30"/>
    <w:pPr>
      <w:pBdr/>
      <w:spacing/>
      <w:ind/>
    </w:pPr>
    <w:rPr>
      <w:i/>
    </w:rPr>
  </w:style>
  <w:style w:type="table" w:styleId="952">
    <w:name w:val="Plain Table 1"/>
    <w:basedOn w:val="8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2"/>
    <w:basedOn w:val="84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3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4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5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2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Grid Table 3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4"/>
    <w:basedOn w:val="84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Grid Table 5 Dark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-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6 Colorful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7 Colorful"/>
    <w:basedOn w:val="84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1 Light"/>
    <w:basedOn w:val="8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"/>
    <w:basedOn w:val="84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1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2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3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4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5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6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1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2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3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4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5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6"/>
    <w:basedOn w:val="843"/>
    <w:uiPriority w:val="99"/>
    <w:pPr>
      <w:pBdr/>
      <w:spacing/>
      <w:ind/>
    </w:pPr>
    <w:rPr>
      <w:color w:val="40404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1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2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3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4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5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6"/>
    <w:basedOn w:val="84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5">
    <w:name w:val="footnote text"/>
    <w:basedOn w:val="832"/>
    <w:link w:val="996"/>
    <w:uiPriority w:val="99"/>
    <w:semiHidden/>
    <w:unhideWhenUsed/>
    <w:pPr>
      <w:pBdr/>
      <w:spacing w:after="40"/>
      <w:ind/>
    </w:pPr>
    <w:rPr>
      <w:sz w:val="18"/>
    </w:rPr>
  </w:style>
  <w:style w:type="character" w:styleId="996" w:customStyle="1">
    <w:name w:val="Footnote Text Char"/>
    <w:link w:val="995"/>
    <w:uiPriority w:val="99"/>
    <w:pPr>
      <w:pBdr/>
      <w:spacing/>
      <w:ind/>
    </w:pPr>
    <w:rPr>
      <w:sz w:val="18"/>
    </w:rPr>
  </w:style>
  <w:style w:type="character" w:styleId="997">
    <w:name w:val="footnote reference"/>
    <w:basedOn w:val="842"/>
    <w:uiPriority w:val="99"/>
    <w:unhideWhenUsed/>
    <w:pPr>
      <w:pBdr/>
      <w:spacing/>
      <w:ind/>
    </w:pPr>
    <w:rPr>
      <w:vertAlign w:val="superscript"/>
    </w:rPr>
  </w:style>
  <w:style w:type="paragraph" w:styleId="998">
    <w:name w:val="toc 1"/>
    <w:basedOn w:val="832"/>
    <w:next w:val="832"/>
    <w:uiPriority w:val="39"/>
    <w:unhideWhenUsed/>
    <w:pPr>
      <w:pBdr/>
      <w:spacing w:after="57"/>
      <w:ind/>
    </w:pPr>
  </w:style>
  <w:style w:type="paragraph" w:styleId="999">
    <w:name w:val="toc 2"/>
    <w:basedOn w:val="832"/>
    <w:next w:val="832"/>
    <w:uiPriority w:val="39"/>
    <w:unhideWhenUsed/>
    <w:pPr>
      <w:pBdr/>
      <w:spacing w:after="57"/>
      <w:ind w:left="283"/>
    </w:pPr>
  </w:style>
  <w:style w:type="paragraph" w:styleId="1000">
    <w:name w:val="toc 3"/>
    <w:basedOn w:val="832"/>
    <w:next w:val="832"/>
    <w:uiPriority w:val="39"/>
    <w:unhideWhenUsed/>
    <w:pPr>
      <w:pBdr/>
      <w:spacing w:after="57"/>
      <w:ind w:left="567"/>
    </w:pPr>
  </w:style>
  <w:style w:type="paragraph" w:styleId="1001">
    <w:name w:val="toc 4"/>
    <w:basedOn w:val="832"/>
    <w:next w:val="832"/>
    <w:uiPriority w:val="39"/>
    <w:unhideWhenUsed/>
    <w:pPr>
      <w:pBdr/>
      <w:spacing w:after="57"/>
      <w:ind w:left="850"/>
    </w:pPr>
  </w:style>
  <w:style w:type="paragraph" w:styleId="1002">
    <w:name w:val="toc 5"/>
    <w:basedOn w:val="832"/>
    <w:next w:val="832"/>
    <w:uiPriority w:val="39"/>
    <w:unhideWhenUsed/>
    <w:pPr>
      <w:pBdr/>
      <w:spacing w:after="57"/>
      <w:ind w:left="1134"/>
    </w:pPr>
  </w:style>
  <w:style w:type="paragraph" w:styleId="1003">
    <w:name w:val="toc 6"/>
    <w:basedOn w:val="832"/>
    <w:next w:val="832"/>
    <w:uiPriority w:val="39"/>
    <w:unhideWhenUsed/>
    <w:pPr>
      <w:pBdr/>
      <w:spacing w:after="57"/>
      <w:ind w:left="1417"/>
    </w:pPr>
  </w:style>
  <w:style w:type="paragraph" w:styleId="1004">
    <w:name w:val="toc 7"/>
    <w:basedOn w:val="832"/>
    <w:next w:val="832"/>
    <w:uiPriority w:val="39"/>
    <w:unhideWhenUsed/>
    <w:pPr>
      <w:pBdr/>
      <w:spacing w:after="57"/>
      <w:ind w:left="1701"/>
    </w:pPr>
  </w:style>
  <w:style w:type="paragraph" w:styleId="1005">
    <w:name w:val="toc 8"/>
    <w:basedOn w:val="832"/>
    <w:next w:val="832"/>
    <w:uiPriority w:val="39"/>
    <w:unhideWhenUsed/>
    <w:pPr>
      <w:pBdr/>
      <w:spacing w:after="57"/>
      <w:ind w:left="1984"/>
    </w:pPr>
  </w:style>
  <w:style w:type="paragraph" w:styleId="1006">
    <w:name w:val="toc 9"/>
    <w:basedOn w:val="832"/>
    <w:next w:val="832"/>
    <w:uiPriority w:val="39"/>
    <w:unhideWhenUsed/>
    <w:pPr>
      <w:pBdr/>
      <w:spacing w:after="57"/>
      <w:ind w:left="2268"/>
    </w:pPr>
  </w:style>
  <w:style w:type="paragraph" w:styleId="1007">
    <w:name w:val="TOC Heading"/>
    <w:uiPriority w:val="39"/>
    <w:unhideWhenUsed/>
    <w:pPr>
      <w:pBdr/>
      <w:spacing/>
      <w:ind/>
    </w:pPr>
  </w:style>
  <w:style w:type="table" w:styleId="1008">
    <w:name w:val="Table Grid"/>
    <w:basedOn w:val="843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9">
    <w:name w:val="Balloon Text"/>
    <w:basedOn w:val="83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10">
    <w:name w:val="Normal (Web)"/>
    <w:basedOn w:val="832"/>
    <w:uiPriority w:val="99"/>
    <w:pPr>
      <w:pBdr/>
      <w:spacing w:after="100" w:afterAutospacing="1" w:before="100" w:beforeAutospacing="1"/>
      <w:ind/>
    </w:pPr>
  </w:style>
  <w:style w:type="paragraph" w:styleId="1011">
    <w:name w:val="Header"/>
    <w:basedOn w:val="832"/>
    <w:link w:val="1012"/>
    <w:uiPriority w:val="99"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1012" w:customStyle="1">
    <w:name w:val="Header Char"/>
    <w:link w:val="1011"/>
    <w:uiPriority w:val="99"/>
    <w:pPr>
      <w:pBdr/>
      <w:spacing/>
      <w:ind/>
    </w:pPr>
    <w:rPr>
      <w:sz w:val="24"/>
      <w:szCs w:val="24"/>
    </w:rPr>
  </w:style>
  <w:style w:type="paragraph" w:styleId="1013">
    <w:name w:val="Footer"/>
    <w:basedOn w:val="832"/>
    <w:link w:val="1014"/>
    <w:uiPriority w:val="99"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1014" w:customStyle="1">
    <w:name w:val="Footer Char"/>
    <w:link w:val="1013"/>
    <w:uiPriority w:val="99"/>
    <w:pPr>
      <w:pBdr/>
      <w:spacing/>
      <w:ind/>
    </w:pPr>
    <w:rPr>
      <w:sz w:val="24"/>
      <w:szCs w:val="24"/>
    </w:rPr>
  </w:style>
  <w:style w:type="paragraph" w:styleId="1015">
    <w:name w:val="Body Text Indent 3"/>
    <w:basedOn w:val="832"/>
    <w:link w:val="1016"/>
    <w:pPr>
      <w:pBdr/>
      <w:spacing w:after="60" w:before="60"/>
      <w:ind w:firstLine="902" w:left="357"/>
      <w:jc w:val="both"/>
    </w:pPr>
    <w:rPr>
      <w:sz w:val="27"/>
      <w:szCs w:val="22"/>
    </w:rPr>
  </w:style>
  <w:style w:type="character" w:styleId="1016" w:customStyle="1">
    <w:name w:val="Body Text Indent 3 Char"/>
    <w:basedOn w:val="842"/>
    <w:link w:val="1015"/>
    <w:pPr>
      <w:pBdr/>
      <w:spacing/>
      <w:ind/>
    </w:pPr>
    <w:rPr>
      <w:sz w:val="27"/>
      <w:szCs w:val="22"/>
    </w:rPr>
  </w:style>
  <w:style w:type="paragraph" w:styleId="1017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1018">
    <w:name w:val="Body Text"/>
    <w:basedOn w:val="832"/>
    <w:link w:val="1019"/>
    <w:unhideWhenUsed/>
    <w:pPr>
      <w:pBdr/>
      <w:spacing w:after="120"/>
      <w:ind/>
    </w:pPr>
  </w:style>
  <w:style w:type="character" w:styleId="1019" w:customStyle="1">
    <w:name w:val="Body Text Char"/>
    <w:basedOn w:val="842"/>
    <w:link w:val="1018"/>
    <w:pPr>
      <w:pBdr/>
      <w:spacing/>
      <w:ind/>
    </w:pPr>
    <w:rPr>
      <w:sz w:val="24"/>
      <w:szCs w:val="24"/>
    </w:rPr>
  </w:style>
  <w:style w:type="character" w:styleId="1020" w:customStyle="1">
    <w:name w:val="Body Text Char1"/>
    <w:uiPriority w:val="99"/>
    <w:pPr>
      <w:pBdr/>
      <w:spacing/>
      <w:ind/>
    </w:pPr>
    <w:rPr>
      <w:rFonts w:ascii="Times New Roman" w:hAnsi="Times New Roman" w:cs="Times New Roman"/>
      <w:sz w:val="26"/>
      <w:szCs w:val="26"/>
      <w:u w:val="none"/>
    </w:rPr>
  </w:style>
  <w:style w:type="character" w:styleId="1021" w:customStyle="1">
    <w:name w:val="Other_"/>
    <w:link w:val="1022"/>
    <w:uiPriority w:val="99"/>
    <w:pPr>
      <w:pBdr/>
      <w:spacing/>
      <w:ind/>
    </w:pPr>
    <w:rPr>
      <w:sz w:val="26"/>
      <w:szCs w:val="26"/>
      <w:shd w:val="clear" w:color="auto" w:fill="ffffff"/>
    </w:rPr>
  </w:style>
  <w:style w:type="paragraph" w:styleId="1022" w:customStyle="1">
    <w:name w:val="Other"/>
    <w:basedOn w:val="832"/>
    <w:link w:val="1021"/>
    <w:uiPriority w:val="99"/>
    <w:pPr>
      <w:widowControl w:val="false"/>
      <w:pBdr/>
      <w:shd w:val="clear" w:color="auto" w:fill="ffffff"/>
      <w:spacing w:after="220" w:line="259" w:lineRule="auto"/>
      <w:ind w:firstLine="400"/>
    </w:pPr>
    <w:rPr>
      <w:sz w:val="26"/>
      <w:szCs w:val="26"/>
    </w:rPr>
  </w:style>
  <w:style w:type="table" w:styleId="1023" w:customStyle="1">
    <w:name w:val="Table Grid1"/>
    <w:basedOn w:val="843"/>
    <w:pPr>
      <w:pBdr/>
      <w:spacing/>
      <w:ind/>
    </w:pPr>
    <w:tblPr>
      <w:tblBorders>
        <w:insideH w:val="single" w:color="000000" w:sz="4" w:space="0"/>
        <w:insideV w:val="single" w:color="000000" w:sz="4" w:space="0"/>
      </w:tblBorders>
      <w:tblCellMar>
        <w:left w:w="0" w:type="dxa"/>
        <w:right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4" w:customStyle="1">
    <w:name w:val="2859"/>
    <w:basedOn w:val="832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ONLYOFFICE/8.3.3.19</Application>
  <DocSecurity>0</DocSecurity>
  <ScaleCrop>0</ScaleCrop>
  <HeadingPairs>
    <vt:vector size="0" baseType="variant"/>
  </HeadingPairs>
  <TitlesOfParts>
    <vt:vector size="0" baseType="lpstr"/>
  </TitlesOfParts>
  <Company>Microsoft Corporation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           CỘNG HÒA XÃ HỘI CHỦ NGHĨA VIỆT NAM</dc:title>
  <dc:creator>TRANTRUNGDUONG</dc:creator>
  <cp:lastModifiedBy>Phan Thành Đông</cp:lastModifiedBy>
  <cp:revision>72</cp:revision>
  <dcterms:created xsi:type="dcterms:W3CDTF">2024-11-29T02:25:00Z</dcterms:created>
  <dcterms:modified xsi:type="dcterms:W3CDTF">2025-08-12T04:16:02Z</dcterms:modified>
</cp:coreProperties>
</file>